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2C15C0" w14:paraId="5671C529" w14:textId="77777777" w:rsidTr="00D74AE1">
        <w:trPr>
          <w:trHeight w:hRule="exact" w:val="2948"/>
        </w:trPr>
        <w:tc>
          <w:tcPr>
            <w:tcW w:w="11185" w:type="dxa"/>
            <w:vAlign w:val="center"/>
          </w:tcPr>
          <w:p w14:paraId="02F6F06A" w14:textId="77777777" w:rsidR="00974E99" w:rsidRPr="002C15C0" w:rsidRDefault="00974E99" w:rsidP="00E21A27">
            <w:pPr>
              <w:pStyle w:val="Documenttype"/>
            </w:pPr>
            <w:bookmarkStart w:id="0" w:name="_GoBack" w:colFirst="0" w:colLast="0"/>
            <w:r w:rsidRPr="002C15C0">
              <w:t>I</w:t>
            </w:r>
            <w:bookmarkStart w:id="1" w:name="_Ref446317644"/>
            <w:bookmarkEnd w:id="1"/>
            <w:r w:rsidRPr="002C15C0">
              <w:t xml:space="preserve">ALA </w:t>
            </w:r>
            <w:r w:rsidR="0093492E" w:rsidRPr="002C15C0">
              <w:t>G</w:t>
            </w:r>
            <w:r w:rsidR="00722236" w:rsidRPr="002C15C0">
              <w:t>uideline</w:t>
            </w:r>
          </w:p>
        </w:tc>
      </w:tr>
      <w:bookmarkEnd w:id="0"/>
    </w:tbl>
    <w:p w14:paraId="65A587A4" w14:textId="77777777" w:rsidR="008972C3" w:rsidRPr="002C15C0" w:rsidRDefault="008972C3" w:rsidP="003274DB"/>
    <w:p w14:paraId="1A5195F1" w14:textId="77777777" w:rsidR="00D74AE1" w:rsidRPr="002C15C0" w:rsidRDefault="00D74AE1" w:rsidP="003274DB"/>
    <w:p w14:paraId="46F1FF97" w14:textId="7D8B325B" w:rsidR="0093492E" w:rsidRPr="002C15C0" w:rsidRDefault="0026038D" w:rsidP="0026038D">
      <w:pPr>
        <w:pStyle w:val="Documentnumber"/>
      </w:pPr>
      <w:r w:rsidRPr="002C15C0">
        <w:t>1</w:t>
      </w:r>
      <w:r w:rsidR="008F0ABB" w:rsidRPr="008F0ABB">
        <w:t>1</w:t>
      </w:r>
      <w:r w:rsidR="00914330" w:rsidRPr="002C15C0">
        <w:rPr>
          <w:highlight w:val="yellow"/>
        </w:rPr>
        <w:t>??</w:t>
      </w:r>
    </w:p>
    <w:p w14:paraId="4CE710CE" w14:textId="77777777" w:rsidR="0026038D" w:rsidRPr="002C15C0" w:rsidRDefault="0026038D" w:rsidP="003274DB"/>
    <w:p w14:paraId="577C9D94" w14:textId="5B305E6D" w:rsidR="00776004" w:rsidRPr="002C15C0" w:rsidRDefault="004D7190" w:rsidP="006218E8">
      <w:pPr>
        <w:pStyle w:val="Documentname"/>
      </w:pPr>
      <w:r w:rsidRPr="002C15C0">
        <w:rPr>
          <w:bCs/>
        </w:rPr>
        <w:t>GNSS Vulnerability and Mitigation Measures</w:t>
      </w:r>
    </w:p>
    <w:p w14:paraId="62B62270" w14:textId="77777777" w:rsidR="00CF49CC" w:rsidRPr="002C15C0" w:rsidRDefault="00CF49CC" w:rsidP="00D74AE1"/>
    <w:p w14:paraId="0053FD35" w14:textId="77777777" w:rsidR="004E0BBB" w:rsidRPr="002C15C0" w:rsidRDefault="004E0BBB" w:rsidP="00D74AE1"/>
    <w:p w14:paraId="3125778D" w14:textId="77777777" w:rsidR="004E0BBB" w:rsidRPr="002C15C0" w:rsidRDefault="004E0BBB" w:rsidP="00D74AE1"/>
    <w:p w14:paraId="056836E4" w14:textId="77777777" w:rsidR="004E0BBB" w:rsidRPr="002C15C0" w:rsidRDefault="004E0BBB" w:rsidP="00D74AE1"/>
    <w:p w14:paraId="0A0E8274" w14:textId="77777777" w:rsidR="004E0BBB" w:rsidRPr="002C15C0" w:rsidRDefault="004E0BBB" w:rsidP="00D74AE1"/>
    <w:p w14:paraId="69AF4367" w14:textId="77777777" w:rsidR="004E0BBB" w:rsidRPr="002C15C0" w:rsidRDefault="004E0BBB" w:rsidP="00D74AE1"/>
    <w:p w14:paraId="03B9A728" w14:textId="77777777" w:rsidR="004E0BBB" w:rsidRPr="002C15C0" w:rsidRDefault="004E0BBB" w:rsidP="00D74AE1"/>
    <w:p w14:paraId="044E49C1" w14:textId="77777777" w:rsidR="004E0BBB" w:rsidRPr="002C15C0" w:rsidRDefault="004E0BBB" w:rsidP="00D74AE1"/>
    <w:p w14:paraId="4A7028A3" w14:textId="77777777" w:rsidR="004E0BBB" w:rsidRPr="002C15C0" w:rsidRDefault="004E0BBB" w:rsidP="00D74AE1"/>
    <w:p w14:paraId="4BD3BF8B" w14:textId="77777777" w:rsidR="004E0BBB" w:rsidRPr="002C15C0" w:rsidRDefault="004E0BBB" w:rsidP="00D74AE1"/>
    <w:p w14:paraId="15681888" w14:textId="77777777" w:rsidR="004E0BBB" w:rsidRPr="002C15C0" w:rsidRDefault="004E0BBB" w:rsidP="00D74AE1"/>
    <w:p w14:paraId="5581D57F" w14:textId="77777777" w:rsidR="004E0BBB" w:rsidRPr="002C15C0" w:rsidRDefault="004E0BBB" w:rsidP="00D74AE1"/>
    <w:p w14:paraId="70E85CE6" w14:textId="77777777" w:rsidR="004E0BBB" w:rsidRPr="002C15C0" w:rsidRDefault="004E0BBB" w:rsidP="00D74AE1"/>
    <w:p w14:paraId="1D40D5BF" w14:textId="77777777" w:rsidR="004E0BBB" w:rsidRPr="002C15C0" w:rsidRDefault="004E0BBB" w:rsidP="00D74AE1"/>
    <w:p w14:paraId="5B54D355" w14:textId="77777777" w:rsidR="004E0BBB" w:rsidRPr="002C15C0" w:rsidRDefault="004E0BBB" w:rsidP="00D74AE1"/>
    <w:p w14:paraId="603C40A3" w14:textId="77777777" w:rsidR="004E0BBB" w:rsidRPr="002C15C0" w:rsidRDefault="004E0BBB" w:rsidP="00D74AE1"/>
    <w:p w14:paraId="0288A87A" w14:textId="77777777" w:rsidR="004E0BBB" w:rsidRPr="002C15C0" w:rsidRDefault="004E0BBB" w:rsidP="00D74AE1"/>
    <w:p w14:paraId="4FB3FC14" w14:textId="77777777" w:rsidR="00734BC6" w:rsidRPr="002C15C0" w:rsidRDefault="00734BC6" w:rsidP="00D74AE1"/>
    <w:p w14:paraId="46DA681B" w14:textId="77777777" w:rsidR="004E0BBB" w:rsidRPr="002C15C0" w:rsidRDefault="004E0BBB" w:rsidP="00D74AE1"/>
    <w:p w14:paraId="43D8A04F" w14:textId="77777777" w:rsidR="004E0BBB" w:rsidRPr="002C15C0" w:rsidRDefault="004E0BBB" w:rsidP="00D74AE1"/>
    <w:p w14:paraId="688AE1FF" w14:textId="77777777" w:rsidR="004E0BBB" w:rsidRPr="002C15C0" w:rsidRDefault="004E0BBB" w:rsidP="00D74AE1"/>
    <w:p w14:paraId="2E021D8B" w14:textId="77777777" w:rsidR="004E0BBB" w:rsidRPr="002C15C0" w:rsidRDefault="004E0BBB" w:rsidP="00D74AE1"/>
    <w:p w14:paraId="22341A57" w14:textId="77777777" w:rsidR="004E0BBB" w:rsidRPr="002C15C0" w:rsidRDefault="004E0BBB" w:rsidP="00D74AE1"/>
    <w:p w14:paraId="43E341F7" w14:textId="77777777" w:rsidR="004E0BBB" w:rsidRPr="002C15C0" w:rsidRDefault="004E0BBB" w:rsidP="00D74AE1"/>
    <w:p w14:paraId="006669B7" w14:textId="77777777" w:rsidR="004E0BBB" w:rsidRPr="002C15C0" w:rsidRDefault="004E0BBB" w:rsidP="004E0BBB">
      <w:pPr>
        <w:pStyle w:val="Editionnumber"/>
      </w:pPr>
      <w:r w:rsidRPr="002C15C0">
        <w:t>Edition 1.0</w:t>
      </w:r>
    </w:p>
    <w:p w14:paraId="73F241CE" w14:textId="77777777" w:rsidR="004E0BBB" w:rsidRPr="002C15C0" w:rsidRDefault="00600C2B" w:rsidP="004E0BBB">
      <w:pPr>
        <w:pStyle w:val="Documentdate"/>
      </w:pPr>
      <w:r w:rsidRPr="002C15C0">
        <w:t xml:space="preserve">Document </w:t>
      </w:r>
      <w:commentRangeStart w:id="2"/>
      <w:r w:rsidRPr="002C15C0">
        <w:t>date</w:t>
      </w:r>
      <w:commentRangeEnd w:id="2"/>
      <w:r w:rsidRPr="002C15C0">
        <w:rPr>
          <w:rStyle w:val="CommentReference"/>
          <w:b w:val="0"/>
          <w:color w:val="auto"/>
        </w:rPr>
        <w:commentReference w:id="2"/>
      </w:r>
    </w:p>
    <w:p w14:paraId="2FD3821C" w14:textId="77777777" w:rsidR="00BC27F6" w:rsidRPr="002C15C0" w:rsidRDefault="00BC27F6" w:rsidP="00D74AE1">
      <w:pPr>
        <w:sectPr w:rsidR="00BC27F6" w:rsidRPr="002C15C0"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60334137" w14:textId="77777777" w:rsidR="00914E26" w:rsidRPr="002C15C0" w:rsidRDefault="00914E26" w:rsidP="00914E26">
      <w:pPr>
        <w:pStyle w:val="BodyText"/>
      </w:pPr>
      <w:r w:rsidRPr="002C15C0">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2C15C0" w14:paraId="2D05D488" w14:textId="77777777" w:rsidTr="005E4659">
        <w:tc>
          <w:tcPr>
            <w:tcW w:w="1908" w:type="dxa"/>
          </w:tcPr>
          <w:p w14:paraId="2959BB0A" w14:textId="77777777" w:rsidR="00914E26" w:rsidRPr="002C15C0" w:rsidRDefault="00914E26" w:rsidP="00414698">
            <w:pPr>
              <w:pStyle w:val="Tableheading"/>
              <w:rPr>
                <w:lang w:val="en-GB"/>
              </w:rPr>
            </w:pPr>
            <w:r w:rsidRPr="002C15C0">
              <w:rPr>
                <w:lang w:val="en-GB"/>
              </w:rPr>
              <w:t>Date</w:t>
            </w:r>
          </w:p>
        </w:tc>
        <w:tc>
          <w:tcPr>
            <w:tcW w:w="3576" w:type="dxa"/>
          </w:tcPr>
          <w:p w14:paraId="72694339" w14:textId="77777777" w:rsidR="00914E26" w:rsidRPr="002C15C0" w:rsidRDefault="00914E26" w:rsidP="00414698">
            <w:pPr>
              <w:pStyle w:val="Tableheading"/>
              <w:rPr>
                <w:lang w:val="en-GB"/>
              </w:rPr>
            </w:pPr>
            <w:r w:rsidRPr="002C15C0">
              <w:rPr>
                <w:lang w:val="en-GB"/>
              </w:rPr>
              <w:t>Page / Section Revised</w:t>
            </w:r>
          </w:p>
        </w:tc>
        <w:tc>
          <w:tcPr>
            <w:tcW w:w="5001" w:type="dxa"/>
          </w:tcPr>
          <w:p w14:paraId="4B44E4AE" w14:textId="77777777" w:rsidR="00914E26" w:rsidRPr="002C15C0" w:rsidRDefault="00914E26" w:rsidP="00414698">
            <w:pPr>
              <w:pStyle w:val="Tableheading"/>
              <w:rPr>
                <w:lang w:val="en-GB"/>
              </w:rPr>
            </w:pPr>
            <w:r w:rsidRPr="002C15C0">
              <w:rPr>
                <w:lang w:val="en-GB"/>
              </w:rPr>
              <w:t>Requirement for Revision</w:t>
            </w:r>
          </w:p>
        </w:tc>
      </w:tr>
      <w:tr w:rsidR="005E4659" w:rsidRPr="002C15C0" w14:paraId="4E2DE140" w14:textId="77777777" w:rsidTr="005E4659">
        <w:trPr>
          <w:trHeight w:val="851"/>
        </w:trPr>
        <w:tc>
          <w:tcPr>
            <w:tcW w:w="1908" w:type="dxa"/>
            <w:vAlign w:val="center"/>
          </w:tcPr>
          <w:p w14:paraId="53B73FC5" w14:textId="1B280779" w:rsidR="00914E26" w:rsidRPr="002C15C0" w:rsidRDefault="00914E26" w:rsidP="00914E26">
            <w:pPr>
              <w:pStyle w:val="Tabletext"/>
            </w:pPr>
          </w:p>
        </w:tc>
        <w:tc>
          <w:tcPr>
            <w:tcW w:w="3576" w:type="dxa"/>
            <w:vAlign w:val="center"/>
          </w:tcPr>
          <w:p w14:paraId="381644A7" w14:textId="69B377CF" w:rsidR="00914E26" w:rsidRPr="002C15C0" w:rsidRDefault="00914E26" w:rsidP="00914E26">
            <w:pPr>
              <w:pStyle w:val="Tabletext"/>
            </w:pPr>
          </w:p>
        </w:tc>
        <w:tc>
          <w:tcPr>
            <w:tcW w:w="5001" w:type="dxa"/>
            <w:vAlign w:val="center"/>
          </w:tcPr>
          <w:p w14:paraId="49549D93" w14:textId="25082BA6" w:rsidR="00914E26" w:rsidRPr="002C15C0" w:rsidRDefault="00914E26" w:rsidP="00914E26">
            <w:pPr>
              <w:pStyle w:val="Tabletext"/>
            </w:pPr>
          </w:p>
        </w:tc>
      </w:tr>
      <w:tr w:rsidR="005E4659" w:rsidRPr="002C15C0" w14:paraId="086A890A" w14:textId="77777777" w:rsidTr="005E4659">
        <w:trPr>
          <w:trHeight w:val="851"/>
        </w:trPr>
        <w:tc>
          <w:tcPr>
            <w:tcW w:w="1908" w:type="dxa"/>
            <w:vAlign w:val="center"/>
          </w:tcPr>
          <w:p w14:paraId="51272DB7" w14:textId="77777777" w:rsidR="00914E26" w:rsidRPr="002C15C0" w:rsidRDefault="00914E26" w:rsidP="00914E26">
            <w:pPr>
              <w:pStyle w:val="Tabletext"/>
            </w:pPr>
          </w:p>
        </w:tc>
        <w:tc>
          <w:tcPr>
            <w:tcW w:w="3576" w:type="dxa"/>
            <w:vAlign w:val="center"/>
          </w:tcPr>
          <w:p w14:paraId="67119AAC" w14:textId="77777777" w:rsidR="00914E26" w:rsidRPr="002C15C0" w:rsidRDefault="00914E26" w:rsidP="00914E26">
            <w:pPr>
              <w:pStyle w:val="Tabletext"/>
            </w:pPr>
          </w:p>
        </w:tc>
        <w:tc>
          <w:tcPr>
            <w:tcW w:w="5001" w:type="dxa"/>
            <w:vAlign w:val="center"/>
          </w:tcPr>
          <w:p w14:paraId="2967A67B" w14:textId="77777777" w:rsidR="00914E26" w:rsidRPr="002C15C0" w:rsidRDefault="00914E26" w:rsidP="00914E26">
            <w:pPr>
              <w:pStyle w:val="Tabletext"/>
            </w:pPr>
          </w:p>
        </w:tc>
      </w:tr>
      <w:tr w:rsidR="005E4659" w:rsidRPr="002C15C0" w14:paraId="5C948D8C" w14:textId="77777777" w:rsidTr="005E4659">
        <w:trPr>
          <w:trHeight w:val="851"/>
        </w:trPr>
        <w:tc>
          <w:tcPr>
            <w:tcW w:w="1908" w:type="dxa"/>
            <w:vAlign w:val="center"/>
          </w:tcPr>
          <w:p w14:paraId="7A17FBA1" w14:textId="77777777" w:rsidR="00914E26" w:rsidRPr="002C15C0" w:rsidRDefault="00914E26" w:rsidP="00914E26">
            <w:pPr>
              <w:pStyle w:val="Tabletext"/>
            </w:pPr>
          </w:p>
        </w:tc>
        <w:tc>
          <w:tcPr>
            <w:tcW w:w="3576" w:type="dxa"/>
            <w:vAlign w:val="center"/>
          </w:tcPr>
          <w:p w14:paraId="051D35C5" w14:textId="77777777" w:rsidR="00914E26" w:rsidRPr="002C15C0" w:rsidRDefault="00914E26" w:rsidP="00914E26">
            <w:pPr>
              <w:pStyle w:val="Tabletext"/>
            </w:pPr>
          </w:p>
        </w:tc>
        <w:tc>
          <w:tcPr>
            <w:tcW w:w="5001" w:type="dxa"/>
            <w:vAlign w:val="center"/>
          </w:tcPr>
          <w:p w14:paraId="4CA477CB" w14:textId="77777777" w:rsidR="00914E26" w:rsidRPr="002C15C0" w:rsidRDefault="00914E26" w:rsidP="00914E26">
            <w:pPr>
              <w:pStyle w:val="Tabletext"/>
            </w:pPr>
          </w:p>
        </w:tc>
      </w:tr>
      <w:tr w:rsidR="005E4659" w:rsidRPr="002C15C0" w14:paraId="5DBF2DFE" w14:textId="77777777" w:rsidTr="005E4659">
        <w:trPr>
          <w:trHeight w:val="851"/>
        </w:trPr>
        <w:tc>
          <w:tcPr>
            <w:tcW w:w="1908" w:type="dxa"/>
            <w:vAlign w:val="center"/>
          </w:tcPr>
          <w:p w14:paraId="4A0715CA" w14:textId="77777777" w:rsidR="00914E26" w:rsidRPr="002C15C0" w:rsidRDefault="00914E26" w:rsidP="00914E26">
            <w:pPr>
              <w:pStyle w:val="Tabletext"/>
            </w:pPr>
          </w:p>
        </w:tc>
        <w:tc>
          <w:tcPr>
            <w:tcW w:w="3576" w:type="dxa"/>
            <w:vAlign w:val="center"/>
          </w:tcPr>
          <w:p w14:paraId="0CDBCFBC" w14:textId="77777777" w:rsidR="00914E26" w:rsidRPr="002C15C0" w:rsidRDefault="00914E26" w:rsidP="00914E26">
            <w:pPr>
              <w:pStyle w:val="Tabletext"/>
            </w:pPr>
          </w:p>
        </w:tc>
        <w:tc>
          <w:tcPr>
            <w:tcW w:w="5001" w:type="dxa"/>
            <w:vAlign w:val="center"/>
          </w:tcPr>
          <w:p w14:paraId="67BD219B" w14:textId="77777777" w:rsidR="00914E26" w:rsidRPr="002C15C0" w:rsidRDefault="00914E26" w:rsidP="00914E26">
            <w:pPr>
              <w:pStyle w:val="Tabletext"/>
            </w:pPr>
          </w:p>
        </w:tc>
      </w:tr>
      <w:tr w:rsidR="005E4659" w:rsidRPr="002C15C0" w14:paraId="48DB7DC9" w14:textId="77777777" w:rsidTr="005E4659">
        <w:trPr>
          <w:trHeight w:val="851"/>
        </w:trPr>
        <w:tc>
          <w:tcPr>
            <w:tcW w:w="1908" w:type="dxa"/>
            <w:vAlign w:val="center"/>
          </w:tcPr>
          <w:p w14:paraId="0A545EB1" w14:textId="77777777" w:rsidR="00914E26" w:rsidRPr="002C15C0" w:rsidRDefault="00914E26" w:rsidP="00914E26">
            <w:pPr>
              <w:pStyle w:val="Tabletext"/>
            </w:pPr>
          </w:p>
        </w:tc>
        <w:tc>
          <w:tcPr>
            <w:tcW w:w="3576" w:type="dxa"/>
            <w:vAlign w:val="center"/>
          </w:tcPr>
          <w:p w14:paraId="61C1519D" w14:textId="77777777" w:rsidR="00914E26" w:rsidRPr="002C15C0" w:rsidRDefault="00914E26" w:rsidP="00914E26">
            <w:pPr>
              <w:pStyle w:val="Tabletext"/>
            </w:pPr>
          </w:p>
        </w:tc>
        <w:tc>
          <w:tcPr>
            <w:tcW w:w="5001" w:type="dxa"/>
            <w:vAlign w:val="center"/>
          </w:tcPr>
          <w:p w14:paraId="5064DF68" w14:textId="77777777" w:rsidR="00914E26" w:rsidRPr="002C15C0" w:rsidRDefault="00914E26" w:rsidP="00914E26">
            <w:pPr>
              <w:pStyle w:val="Tabletext"/>
            </w:pPr>
          </w:p>
        </w:tc>
      </w:tr>
      <w:tr w:rsidR="005E4659" w:rsidRPr="002C15C0" w14:paraId="4D98357C" w14:textId="77777777" w:rsidTr="005E4659">
        <w:trPr>
          <w:trHeight w:val="851"/>
        </w:trPr>
        <w:tc>
          <w:tcPr>
            <w:tcW w:w="1908" w:type="dxa"/>
            <w:vAlign w:val="center"/>
          </w:tcPr>
          <w:p w14:paraId="27755C2A" w14:textId="77777777" w:rsidR="00914E26" w:rsidRPr="002C15C0" w:rsidRDefault="00914E26" w:rsidP="00914E26">
            <w:pPr>
              <w:pStyle w:val="Tabletext"/>
            </w:pPr>
          </w:p>
        </w:tc>
        <w:tc>
          <w:tcPr>
            <w:tcW w:w="3576" w:type="dxa"/>
            <w:vAlign w:val="center"/>
          </w:tcPr>
          <w:p w14:paraId="5C5D906C" w14:textId="77777777" w:rsidR="00914E26" w:rsidRPr="002C15C0" w:rsidRDefault="00914E26" w:rsidP="00914E26">
            <w:pPr>
              <w:pStyle w:val="Tabletext"/>
            </w:pPr>
          </w:p>
        </w:tc>
        <w:tc>
          <w:tcPr>
            <w:tcW w:w="5001" w:type="dxa"/>
            <w:vAlign w:val="center"/>
          </w:tcPr>
          <w:p w14:paraId="0C7A5EEC" w14:textId="77777777" w:rsidR="00914E26" w:rsidRPr="002C15C0" w:rsidRDefault="00914E26" w:rsidP="00914E26">
            <w:pPr>
              <w:pStyle w:val="Tabletext"/>
            </w:pPr>
          </w:p>
        </w:tc>
      </w:tr>
      <w:tr w:rsidR="005E4659" w:rsidRPr="002C15C0" w14:paraId="311CC25F" w14:textId="77777777" w:rsidTr="005E4659">
        <w:trPr>
          <w:trHeight w:val="851"/>
        </w:trPr>
        <w:tc>
          <w:tcPr>
            <w:tcW w:w="1908" w:type="dxa"/>
            <w:vAlign w:val="center"/>
          </w:tcPr>
          <w:p w14:paraId="6348C743" w14:textId="77777777" w:rsidR="00914E26" w:rsidRPr="002C15C0" w:rsidRDefault="00914E26" w:rsidP="00914E26">
            <w:pPr>
              <w:pStyle w:val="Tabletext"/>
            </w:pPr>
          </w:p>
        </w:tc>
        <w:tc>
          <w:tcPr>
            <w:tcW w:w="3576" w:type="dxa"/>
            <w:vAlign w:val="center"/>
          </w:tcPr>
          <w:p w14:paraId="7A1140C9" w14:textId="77777777" w:rsidR="00914E26" w:rsidRPr="002C15C0" w:rsidRDefault="00914E26" w:rsidP="00914E26">
            <w:pPr>
              <w:pStyle w:val="Tabletext"/>
            </w:pPr>
          </w:p>
        </w:tc>
        <w:tc>
          <w:tcPr>
            <w:tcW w:w="5001" w:type="dxa"/>
            <w:vAlign w:val="center"/>
          </w:tcPr>
          <w:p w14:paraId="02EF4AFF" w14:textId="77777777" w:rsidR="00914E26" w:rsidRPr="002C15C0" w:rsidRDefault="00914E26" w:rsidP="00914E26">
            <w:pPr>
              <w:pStyle w:val="Tabletext"/>
            </w:pPr>
          </w:p>
        </w:tc>
      </w:tr>
    </w:tbl>
    <w:p w14:paraId="37599706" w14:textId="77777777" w:rsidR="00914E26" w:rsidRPr="002C15C0" w:rsidRDefault="00914E26" w:rsidP="00D74AE1"/>
    <w:p w14:paraId="030389DD" w14:textId="77777777" w:rsidR="005E4659" w:rsidRPr="002C15C0" w:rsidRDefault="005E4659" w:rsidP="00914E26">
      <w:pPr>
        <w:spacing w:after="200" w:line="276" w:lineRule="auto"/>
        <w:sectPr w:rsidR="005E4659" w:rsidRPr="002C15C0" w:rsidSect="00C716E5">
          <w:headerReference w:type="default" r:id="rId15"/>
          <w:footerReference w:type="default" r:id="rId16"/>
          <w:pgSz w:w="11906" w:h="16838" w:code="9"/>
          <w:pgMar w:top="567" w:right="794" w:bottom="567" w:left="907" w:header="567" w:footer="850" w:gutter="0"/>
          <w:cols w:space="708"/>
          <w:docGrid w:linePitch="360"/>
        </w:sectPr>
      </w:pPr>
    </w:p>
    <w:p w14:paraId="5BF6C904" w14:textId="77777777" w:rsidR="00025586" w:rsidRDefault="004A4EC4">
      <w:pPr>
        <w:pStyle w:val="TOC1"/>
        <w:rPr>
          <w:rFonts w:eastAsiaTheme="minorEastAsia"/>
          <w:b w:val="0"/>
          <w:color w:val="auto"/>
          <w:sz w:val="24"/>
          <w:szCs w:val="24"/>
          <w:lang w:eastAsia="en-GB"/>
        </w:rPr>
      </w:pPr>
      <w:r w:rsidRPr="002C15C0">
        <w:rPr>
          <w:rFonts w:eastAsia="Times New Roman" w:cs="Times New Roman"/>
          <w:b w:val="0"/>
          <w:noProof w:val="0"/>
          <w:szCs w:val="20"/>
        </w:rPr>
        <w:lastRenderedPageBreak/>
        <w:fldChar w:fldCharType="begin"/>
      </w:r>
      <w:r w:rsidRPr="002C15C0">
        <w:rPr>
          <w:rFonts w:eastAsia="Times New Roman" w:cs="Times New Roman"/>
          <w:b w:val="0"/>
          <w:noProof w:val="0"/>
          <w:szCs w:val="20"/>
        </w:rPr>
        <w:instrText xml:space="preserve"> TOC \o "1-3" \t "Annex,4,Appendix,5" </w:instrText>
      </w:r>
      <w:r w:rsidRPr="002C15C0">
        <w:rPr>
          <w:rFonts w:eastAsia="Times New Roman" w:cs="Times New Roman"/>
          <w:b w:val="0"/>
          <w:noProof w:val="0"/>
          <w:szCs w:val="20"/>
        </w:rPr>
        <w:fldChar w:fldCharType="separate"/>
      </w:r>
      <w:r w:rsidR="00025586">
        <w:t>1</w:t>
      </w:r>
      <w:r w:rsidR="00025586">
        <w:rPr>
          <w:rFonts w:eastAsiaTheme="minorEastAsia"/>
          <w:b w:val="0"/>
          <w:color w:val="auto"/>
          <w:sz w:val="24"/>
          <w:szCs w:val="24"/>
          <w:lang w:eastAsia="en-GB"/>
        </w:rPr>
        <w:tab/>
      </w:r>
      <w:r w:rsidR="00025586">
        <w:t>INTRODUCTION</w:t>
      </w:r>
      <w:r w:rsidR="00025586">
        <w:tab/>
      </w:r>
      <w:r w:rsidR="00025586">
        <w:fldChar w:fldCharType="begin"/>
      </w:r>
      <w:r w:rsidR="00025586">
        <w:instrText xml:space="preserve"> PAGEREF _Toc467068134 \h </w:instrText>
      </w:r>
      <w:r w:rsidR="00025586">
        <w:fldChar w:fldCharType="separate"/>
      </w:r>
      <w:r w:rsidR="00025586">
        <w:t>4</w:t>
      </w:r>
      <w:r w:rsidR="00025586">
        <w:fldChar w:fldCharType="end"/>
      </w:r>
    </w:p>
    <w:p w14:paraId="258A7BAA" w14:textId="77777777" w:rsidR="00025586" w:rsidRDefault="00025586">
      <w:pPr>
        <w:pStyle w:val="TOC2"/>
        <w:rPr>
          <w:rFonts w:eastAsiaTheme="minorEastAsia"/>
          <w:color w:val="auto"/>
          <w:sz w:val="24"/>
          <w:szCs w:val="24"/>
          <w:lang w:eastAsia="en-GB"/>
        </w:rPr>
      </w:pPr>
      <w:r>
        <w:t>1.1</w:t>
      </w:r>
      <w:r>
        <w:rPr>
          <w:rFonts w:eastAsiaTheme="minorEastAsia"/>
          <w:color w:val="auto"/>
          <w:sz w:val="24"/>
          <w:szCs w:val="24"/>
          <w:lang w:eastAsia="en-GB"/>
        </w:rPr>
        <w:tab/>
      </w:r>
      <w:r>
        <w:t>Background</w:t>
      </w:r>
      <w:r>
        <w:tab/>
      </w:r>
      <w:r>
        <w:fldChar w:fldCharType="begin"/>
      </w:r>
      <w:r>
        <w:instrText xml:space="preserve"> PAGEREF _Toc467068135 \h </w:instrText>
      </w:r>
      <w:r>
        <w:fldChar w:fldCharType="separate"/>
      </w:r>
      <w:r>
        <w:t>4</w:t>
      </w:r>
      <w:r>
        <w:fldChar w:fldCharType="end"/>
      </w:r>
    </w:p>
    <w:p w14:paraId="4CB70119" w14:textId="77777777" w:rsidR="00025586" w:rsidRDefault="00025586">
      <w:pPr>
        <w:pStyle w:val="TOC2"/>
        <w:rPr>
          <w:rFonts w:eastAsiaTheme="minorEastAsia"/>
          <w:color w:val="auto"/>
          <w:sz w:val="24"/>
          <w:szCs w:val="24"/>
          <w:lang w:eastAsia="en-GB"/>
        </w:rPr>
      </w:pPr>
      <w:r>
        <w:t>1.2</w:t>
      </w:r>
      <w:r>
        <w:rPr>
          <w:rFonts w:eastAsiaTheme="minorEastAsia"/>
          <w:color w:val="auto"/>
          <w:sz w:val="24"/>
          <w:szCs w:val="24"/>
          <w:lang w:eastAsia="en-GB"/>
        </w:rPr>
        <w:tab/>
      </w:r>
      <w:r>
        <w:t>Scope</w:t>
      </w:r>
      <w:r>
        <w:tab/>
      </w:r>
      <w:r>
        <w:fldChar w:fldCharType="begin"/>
      </w:r>
      <w:r>
        <w:instrText xml:space="preserve"> PAGEREF _Toc467068136 \h </w:instrText>
      </w:r>
      <w:r>
        <w:fldChar w:fldCharType="separate"/>
      </w:r>
      <w:r>
        <w:t>4</w:t>
      </w:r>
      <w:r>
        <w:fldChar w:fldCharType="end"/>
      </w:r>
    </w:p>
    <w:p w14:paraId="23B1FBD8" w14:textId="77777777" w:rsidR="00025586" w:rsidRDefault="00025586">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t>SOURCES OF VULNERABILITY</w:t>
      </w:r>
      <w:r>
        <w:tab/>
      </w:r>
      <w:r>
        <w:fldChar w:fldCharType="begin"/>
      </w:r>
      <w:r>
        <w:instrText xml:space="preserve"> PAGEREF _Toc467068137 \h </w:instrText>
      </w:r>
      <w:r>
        <w:fldChar w:fldCharType="separate"/>
      </w:r>
      <w:r>
        <w:t>4</w:t>
      </w:r>
      <w:r>
        <w:fldChar w:fldCharType="end"/>
      </w:r>
    </w:p>
    <w:p w14:paraId="7E174630" w14:textId="77777777" w:rsidR="00025586" w:rsidRDefault="00025586">
      <w:pPr>
        <w:pStyle w:val="TOC2"/>
        <w:rPr>
          <w:rFonts w:eastAsiaTheme="minorEastAsia"/>
          <w:color w:val="auto"/>
          <w:sz w:val="24"/>
          <w:szCs w:val="24"/>
          <w:lang w:eastAsia="en-GB"/>
        </w:rPr>
      </w:pPr>
      <w:r>
        <w:t>2.1</w:t>
      </w:r>
      <w:r>
        <w:rPr>
          <w:rFonts w:eastAsiaTheme="minorEastAsia"/>
          <w:color w:val="auto"/>
          <w:sz w:val="24"/>
          <w:szCs w:val="24"/>
          <w:lang w:eastAsia="en-GB"/>
        </w:rPr>
        <w:tab/>
      </w:r>
      <w:r>
        <w:t>Interference Sources</w:t>
      </w:r>
      <w:r>
        <w:tab/>
      </w:r>
      <w:r>
        <w:fldChar w:fldCharType="begin"/>
      </w:r>
      <w:r>
        <w:instrText xml:space="preserve"> PAGEREF _Toc467068138 \h </w:instrText>
      </w:r>
      <w:r>
        <w:fldChar w:fldCharType="separate"/>
      </w:r>
      <w:r>
        <w:t>5</w:t>
      </w:r>
      <w:r>
        <w:fldChar w:fldCharType="end"/>
      </w:r>
    </w:p>
    <w:p w14:paraId="5DEC8C88" w14:textId="77777777" w:rsidR="00025586" w:rsidRDefault="00025586">
      <w:pPr>
        <w:pStyle w:val="TOC2"/>
        <w:rPr>
          <w:rFonts w:eastAsiaTheme="minorEastAsia"/>
          <w:color w:val="auto"/>
          <w:sz w:val="24"/>
          <w:szCs w:val="24"/>
          <w:lang w:eastAsia="en-GB"/>
        </w:rPr>
      </w:pPr>
      <w:r>
        <w:t>2.2</w:t>
      </w:r>
      <w:r>
        <w:rPr>
          <w:rFonts w:eastAsiaTheme="minorEastAsia"/>
          <w:color w:val="auto"/>
          <w:sz w:val="24"/>
          <w:szCs w:val="24"/>
          <w:lang w:eastAsia="en-GB"/>
        </w:rPr>
        <w:tab/>
      </w:r>
      <w:r>
        <w:t>Jamming &amp; Spoofing</w:t>
      </w:r>
      <w:r>
        <w:tab/>
      </w:r>
      <w:r>
        <w:fldChar w:fldCharType="begin"/>
      </w:r>
      <w:r>
        <w:instrText xml:space="preserve"> PAGEREF _Toc467068139 \h </w:instrText>
      </w:r>
      <w:r>
        <w:fldChar w:fldCharType="separate"/>
      </w:r>
      <w:r>
        <w:t>6</w:t>
      </w:r>
      <w:r>
        <w:fldChar w:fldCharType="end"/>
      </w:r>
    </w:p>
    <w:p w14:paraId="56D8293A" w14:textId="77777777" w:rsidR="00025586" w:rsidRDefault="00025586">
      <w:pPr>
        <w:pStyle w:val="TOC2"/>
        <w:rPr>
          <w:rFonts w:eastAsiaTheme="minorEastAsia"/>
          <w:color w:val="auto"/>
          <w:sz w:val="24"/>
          <w:szCs w:val="24"/>
          <w:lang w:eastAsia="en-GB"/>
        </w:rPr>
      </w:pPr>
      <w:r>
        <w:t>2.3</w:t>
      </w:r>
      <w:r>
        <w:rPr>
          <w:rFonts w:eastAsiaTheme="minorEastAsia"/>
          <w:color w:val="auto"/>
          <w:sz w:val="24"/>
          <w:szCs w:val="24"/>
          <w:lang w:eastAsia="en-GB"/>
        </w:rPr>
        <w:tab/>
      </w:r>
      <w:r>
        <w:t>Risk Analysis</w:t>
      </w:r>
      <w:r>
        <w:tab/>
      </w:r>
      <w:r>
        <w:fldChar w:fldCharType="begin"/>
      </w:r>
      <w:r>
        <w:instrText xml:space="preserve"> PAGEREF _Toc467068140 \h </w:instrText>
      </w:r>
      <w:r>
        <w:fldChar w:fldCharType="separate"/>
      </w:r>
      <w:r>
        <w:t>6</w:t>
      </w:r>
      <w:r>
        <w:fldChar w:fldCharType="end"/>
      </w:r>
    </w:p>
    <w:p w14:paraId="3DB27E85" w14:textId="77777777" w:rsidR="00025586" w:rsidRDefault="00025586">
      <w:pPr>
        <w:pStyle w:val="TOC2"/>
        <w:rPr>
          <w:rFonts w:eastAsiaTheme="minorEastAsia"/>
          <w:color w:val="auto"/>
          <w:sz w:val="24"/>
          <w:szCs w:val="24"/>
          <w:lang w:eastAsia="en-GB"/>
        </w:rPr>
      </w:pPr>
      <w:r>
        <w:t>2.4</w:t>
      </w:r>
      <w:r>
        <w:rPr>
          <w:rFonts w:eastAsiaTheme="minorEastAsia"/>
          <w:color w:val="auto"/>
          <w:sz w:val="24"/>
          <w:szCs w:val="24"/>
          <w:lang w:eastAsia="en-GB"/>
        </w:rPr>
        <w:tab/>
      </w:r>
      <w:r>
        <w:t>Mitigation</w:t>
      </w:r>
      <w:r>
        <w:tab/>
      </w:r>
      <w:r>
        <w:fldChar w:fldCharType="begin"/>
      </w:r>
      <w:r>
        <w:instrText xml:space="preserve"> PAGEREF _Toc467068141 \h </w:instrText>
      </w:r>
      <w:r>
        <w:fldChar w:fldCharType="separate"/>
      </w:r>
      <w:r>
        <w:t>7</w:t>
      </w:r>
      <w:r>
        <w:fldChar w:fldCharType="end"/>
      </w:r>
    </w:p>
    <w:p w14:paraId="03AC961A" w14:textId="77777777" w:rsidR="00025586" w:rsidRDefault="00025586">
      <w:pPr>
        <w:pStyle w:val="TOC2"/>
        <w:rPr>
          <w:rFonts w:eastAsiaTheme="minorEastAsia"/>
          <w:color w:val="auto"/>
          <w:sz w:val="24"/>
          <w:szCs w:val="24"/>
          <w:lang w:eastAsia="en-GB"/>
        </w:rPr>
      </w:pPr>
      <w:r>
        <w:t>2.5</w:t>
      </w:r>
      <w:r>
        <w:rPr>
          <w:rFonts w:eastAsiaTheme="minorEastAsia"/>
          <w:color w:val="auto"/>
          <w:sz w:val="24"/>
          <w:szCs w:val="24"/>
          <w:lang w:eastAsia="en-GB"/>
        </w:rPr>
        <w:tab/>
      </w:r>
      <w:r>
        <w:t>Alternative Systems</w:t>
      </w:r>
      <w:r>
        <w:tab/>
      </w:r>
      <w:r>
        <w:fldChar w:fldCharType="begin"/>
      </w:r>
      <w:r>
        <w:instrText xml:space="preserve"> PAGEREF _Toc467068142 \h </w:instrText>
      </w:r>
      <w:r>
        <w:fldChar w:fldCharType="separate"/>
      </w:r>
      <w:r>
        <w:t>8</w:t>
      </w:r>
      <w:r>
        <w:fldChar w:fldCharType="end"/>
      </w:r>
    </w:p>
    <w:p w14:paraId="0F07187F" w14:textId="77777777" w:rsidR="00025586" w:rsidRDefault="00025586">
      <w:pPr>
        <w:pStyle w:val="TOC3"/>
        <w:tabs>
          <w:tab w:val="left" w:pos="1134"/>
          <w:tab w:val="right" w:leader="dot" w:pos="10195"/>
        </w:tabs>
        <w:rPr>
          <w:rFonts w:eastAsiaTheme="minorEastAsia"/>
          <w:noProof/>
          <w:sz w:val="24"/>
          <w:szCs w:val="24"/>
          <w:lang w:eastAsia="en-GB"/>
        </w:rPr>
      </w:pPr>
      <w:r>
        <w:rPr>
          <w:noProof/>
        </w:rPr>
        <w:t>2.5.1</w:t>
      </w:r>
      <w:r>
        <w:rPr>
          <w:rFonts w:eastAsiaTheme="minorEastAsia"/>
          <w:noProof/>
          <w:sz w:val="24"/>
          <w:szCs w:val="24"/>
          <w:lang w:eastAsia="en-GB"/>
        </w:rPr>
        <w:tab/>
      </w:r>
      <w:r>
        <w:rPr>
          <w:noProof/>
        </w:rPr>
        <w:t>Redundant System</w:t>
      </w:r>
      <w:r>
        <w:rPr>
          <w:noProof/>
        </w:rPr>
        <w:tab/>
      </w:r>
      <w:r>
        <w:rPr>
          <w:noProof/>
        </w:rPr>
        <w:fldChar w:fldCharType="begin"/>
      </w:r>
      <w:r>
        <w:rPr>
          <w:noProof/>
        </w:rPr>
        <w:instrText xml:space="preserve"> PAGEREF _Toc467068143 \h </w:instrText>
      </w:r>
      <w:r>
        <w:rPr>
          <w:noProof/>
        </w:rPr>
      </w:r>
      <w:r>
        <w:rPr>
          <w:noProof/>
        </w:rPr>
        <w:fldChar w:fldCharType="separate"/>
      </w:r>
      <w:r>
        <w:rPr>
          <w:noProof/>
        </w:rPr>
        <w:t>8</w:t>
      </w:r>
      <w:r>
        <w:rPr>
          <w:noProof/>
        </w:rPr>
        <w:fldChar w:fldCharType="end"/>
      </w:r>
    </w:p>
    <w:p w14:paraId="1E438AB1" w14:textId="77777777" w:rsidR="00025586" w:rsidRDefault="00025586">
      <w:pPr>
        <w:pStyle w:val="TOC3"/>
        <w:tabs>
          <w:tab w:val="left" w:pos="1134"/>
          <w:tab w:val="right" w:leader="dot" w:pos="10195"/>
        </w:tabs>
        <w:rPr>
          <w:rFonts w:eastAsiaTheme="minorEastAsia"/>
          <w:noProof/>
          <w:sz w:val="24"/>
          <w:szCs w:val="24"/>
          <w:lang w:eastAsia="en-GB"/>
        </w:rPr>
      </w:pPr>
      <w:r>
        <w:rPr>
          <w:noProof/>
        </w:rPr>
        <w:t>2.5.2</w:t>
      </w:r>
      <w:r>
        <w:rPr>
          <w:rFonts w:eastAsiaTheme="minorEastAsia"/>
          <w:noProof/>
          <w:sz w:val="24"/>
          <w:szCs w:val="24"/>
          <w:lang w:eastAsia="en-GB"/>
        </w:rPr>
        <w:tab/>
      </w:r>
      <w:r>
        <w:rPr>
          <w:noProof/>
        </w:rPr>
        <w:t>Backup Systems</w:t>
      </w:r>
      <w:r>
        <w:rPr>
          <w:noProof/>
        </w:rPr>
        <w:tab/>
      </w:r>
      <w:r>
        <w:rPr>
          <w:noProof/>
        </w:rPr>
        <w:fldChar w:fldCharType="begin"/>
      </w:r>
      <w:r>
        <w:rPr>
          <w:noProof/>
        </w:rPr>
        <w:instrText xml:space="preserve"> PAGEREF _Toc467068144 \h </w:instrText>
      </w:r>
      <w:r>
        <w:rPr>
          <w:noProof/>
        </w:rPr>
      </w:r>
      <w:r>
        <w:rPr>
          <w:noProof/>
        </w:rPr>
        <w:fldChar w:fldCharType="separate"/>
      </w:r>
      <w:r>
        <w:rPr>
          <w:noProof/>
        </w:rPr>
        <w:t>8</w:t>
      </w:r>
      <w:r>
        <w:rPr>
          <w:noProof/>
        </w:rPr>
        <w:fldChar w:fldCharType="end"/>
      </w:r>
    </w:p>
    <w:p w14:paraId="202C77E0" w14:textId="77777777" w:rsidR="00025586" w:rsidRDefault="00025586">
      <w:pPr>
        <w:pStyle w:val="TOC3"/>
        <w:tabs>
          <w:tab w:val="left" w:pos="1134"/>
          <w:tab w:val="right" w:leader="dot" w:pos="10195"/>
        </w:tabs>
        <w:rPr>
          <w:rFonts w:eastAsiaTheme="minorEastAsia"/>
          <w:noProof/>
          <w:sz w:val="24"/>
          <w:szCs w:val="24"/>
          <w:lang w:eastAsia="en-GB"/>
        </w:rPr>
      </w:pPr>
      <w:r>
        <w:rPr>
          <w:noProof/>
        </w:rPr>
        <w:t>2.5.3</w:t>
      </w:r>
      <w:r>
        <w:rPr>
          <w:rFonts w:eastAsiaTheme="minorEastAsia"/>
          <w:noProof/>
          <w:sz w:val="24"/>
          <w:szCs w:val="24"/>
          <w:lang w:eastAsia="en-GB"/>
        </w:rPr>
        <w:tab/>
      </w:r>
      <w:r>
        <w:rPr>
          <w:noProof/>
        </w:rPr>
        <w:t>Contingency Systems</w:t>
      </w:r>
      <w:r>
        <w:rPr>
          <w:noProof/>
        </w:rPr>
        <w:tab/>
      </w:r>
      <w:r>
        <w:rPr>
          <w:noProof/>
        </w:rPr>
        <w:fldChar w:fldCharType="begin"/>
      </w:r>
      <w:r>
        <w:rPr>
          <w:noProof/>
        </w:rPr>
        <w:instrText xml:space="preserve"> PAGEREF _Toc467068145 \h </w:instrText>
      </w:r>
      <w:r>
        <w:rPr>
          <w:noProof/>
        </w:rPr>
      </w:r>
      <w:r>
        <w:rPr>
          <w:noProof/>
        </w:rPr>
        <w:fldChar w:fldCharType="separate"/>
      </w:r>
      <w:r>
        <w:rPr>
          <w:noProof/>
        </w:rPr>
        <w:t>9</w:t>
      </w:r>
      <w:r>
        <w:rPr>
          <w:noProof/>
        </w:rPr>
        <w:fldChar w:fldCharType="end"/>
      </w:r>
    </w:p>
    <w:p w14:paraId="64FFA277" w14:textId="77777777" w:rsidR="00025586" w:rsidRDefault="00025586">
      <w:pPr>
        <w:pStyle w:val="TOC3"/>
        <w:tabs>
          <w:tab w:val="left" w:pos="1134"/>
          <w:tab w:val="right" w:leader="dot" w:pos="10195"/>
        </w:tabs>
        <w:rPr>
          <w:rFonts w:eastAsiaTheme="minorEastAsia"/>
          <w:noProof/>
          <w:sz w:val="24"/>
          <w:szCs w:val="24"/>
          <w:lang w:eastAsia="en-GB"/>
        </w:rPr>
      </w:pPr>
      <w:r>
        <w:rPr>
          <w:noProof/>
        </w:rPr>
        <w:t>2.5.4</w:t>
      </w:r>
      <w:r>
        <w:rPr>
          <w:rFonts w:eastAsiaTheme="minorEastAsia"/>
          <w:noProof/>
          <w:sz w:val="24"/>
          <w:szCs w:val="24"/>
          <w:lang w:eastAsia="en-GB"/>
        </w:rPr>
        <w:tab/>
      </w:r>
      <w:r>
        <w:rPr>
          <w:noProof/>
        </w:rPr>
        <w:t>Dependent Systems</w:t>
      </w:r>
      <w:r>
        <w:rPr>
          <w:noProof/>
        </w:rPr>
        <w:tab/>
      </w:r>
      <w:r>
        <w:rPr>
          <w:noProof/>
        </w:rPr>
        <w:fldChar w:fldCharType="begin"/>
      </w:r>
      <w:r>
        <w:rPr>
          <w:noProof/>
        </w:rPr>
        <w:instrText xml:space="preserve"> PAGEREF _Toc467068146 \h </w:instrText>
      </w:r>
      <w:r>
        <w:rPr>
          <w:noProof/>
        </w:rPr>
      </w:r>
      <w:r>
        <w:rPr>
          <w:noProof/>
        </w:rPr>
        <w:fldChar w:fldCharType="separate"/>
      </w:r>
      <w:r>
        <w:rPr>
          <w:noProof/>
        </w:rPr>
        <w:t>10</w:t>
      </w:r>
      <w:r>
        <w:rPr>
          <w:noProof/>
        </w:rPr>
        <w:fldChar w:fldCharType="end"/>
      </w:r>
    </w:p>
    <w:p w14:paraId="3E08A41E" w14:textId="77777777" w:rsidR="00025586" w:rsidRDefault="00025586">
      <w:pPr>
        <w:pStyle w:val="TOC3"/>
        <w:tabs>
          <w:tab w:val="left" w:pos="1134"/>
          <w:tab w:val="right" w:leader="dot" w:pos="10195"/>
        </w:tabs>
        <w:rPr>
          <w:rFonts w:eastAsiaTheme="minorEastAsia"/>
          <w:noProof/>
          <w:sz w:val="24"/>
          <w:szCs w:val="24"/>
          <w:lang w:eastAsia="en-GB"/>
        </w:rPr>
      </w:pPr>
      <w:r>
        <w:rPr>
          <w:noProof/>
        </w:rPr>
        <w:t>2.5.5</w:t>
      </w:r>
      <w:r>
        <w:rPr>
          <w:rFonts w:eastAsiaTheme="minorEastAsia"/>
          <w:noProof/>
          <w:sz w:val="24"/>
          <w:szCs w:val="24"/>
          <w:lang w:eastAsia="en-GB"/>
        </w:rPr>
        <w:tab/>
      </w:r>
      <w:r>
        <w:rPr>
          <w:noProof/>
        </w:rPr>
        <w:t>Integrity Systems</w:t>
      </w:r>
      <w:r>
        <w:rPr>
          <w:noProof/>
        </w:rPr>
        <w:tab/>
      </w:r>
      <w:r>
        <w:rPr>
          <w:noProof/>
        </w:rPr>
        <w:fldChar w:fldCharType="begin"/>
      </w:r>
      <w:r>
        <w:rPr>
          <w:noProof/>
        </w:rPr>
        <w:instrText xml:space="preserve"> PAGEREF _Toc467068147 \h </w:instrText>
      </w:r>
      <w:r>
        <w:rPr>
          <w:noProof/>
        </w:rPr>
      </w:r>
      <w:r>
        <w:rPr>
          <w:noProof/>
        </w:rPr>
        <w:fldChar w:fldCharType="separate"/>
      </w:r>
      <w:r>
        <w:rPr>
          <w:noProof/>
        </w:rPr>
        <w:t>10</w:t>
      </w:r>
      <w:r>
        <w:rPr>
          <w:noProof/>
        </w:rPr>
        <w:fldChar w:fldCharType="end"/>
      </w:r>
    </w:p>
    <w:p w14:paraId="6C8CFA86" w14:textId="77777777" w:rsidR="00025586" w:rsidRDefault="00025586">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t>ACTION PLAN</w:t>
      </w:r>
      <w:r>
        <w:tab/>
      </w:r>
      <w:r>
        <w:fldChar w:fldCharType="begin"/>
      </w:r>
      <w:r>
        <w:instrText xml:space="preserve"> PAGEREF _Toc467068148 \h </w:instrText>
      </w:r>
      <w:r>
        <w:fldChar w:fldCharType="separate"/>
      </w:r>
      <w:r>
        <w:t>11</w:t>
      </w:r>
      <w:r>
        <w:fldChar w:fldCharType="end"/>
      </w:r>
    </w:p>
    <w:p w14:paraId="7773C888" w14:textId="77777777" w:rsidR="00025586" w:rsidRDefault="00025586">
      <w:pPr>
        <w:pStyle w:val="TOC2"/>
        <w:rPr>
          <w:rFonts w:eastAsiaTheme="minorEastAsia"/>
          <w:color w:val="auto"/>
          <w:sz w:val="24"/>
          <w:szCs w:val="24"/>
          <w:lang w:eastAsia="en-GB"/>
        </w:rPr>
      </w:pPr>
      <w:r>
        <w:t>3.1</w:t>
      </w:r>
      <w:r>
        <w:rPr>
          <w:rFonts w:eastAsiaTheme="minorEastAsia"/>
          <w:color w:val="auto"/>
          <w:sz w:val="24"/>
          <w:szCs w:val="24"/>
          <w:lang w:eastAsia="en-GB"/>
        </w:rPr>
        <w:tab/>
      </w:r>
      <w:r>
        <w:t>Risk Assessment</w:t>
      </w:r>
      <w:r>
        <w:tab/>
      </w:r>
      <w:r>
        <w:fldChar w:fldCharType="begin"/>
      </w:r>
      <w:r>
        <w:instrText xml:space="preserve"> PAGEREF _Toc467068149 \h </w:instrText>
      </w:r>
      <w:r>
        <w:fldChar w:fldCharType="separate"/>
      </w:r>
      <w:r>
        <w:t>11</w:t>
      </w:r>
      <w:r>
        <w:fldChar w:fldCharType="end"/>
      </w:r>
    </w:p>
    <w:p w14:paraId="2FE1124D" w14:textId="77777777" w:rsidR="00025586" w:rsidRDefault="00025586">
      <w:pPr>
        <w:pStyle w:val="TOC2"/>
        <w:rPr>
          <w:rFonts w:eastAsiaTheme="minorEastAsia"/>
          <w:color w:val="auto"/>
          <w:sz w:val="24"/>
          <w:szCs w:val="24"/>
          <w:lang w:eastAsia="en-GB"/>
        </w:rPr>
      </w:pPr>
      <w:r>
        <w:t>3.2</w:t>
      </w:r>
      <w:r>
        <w:rPr>
          <w:rFonts w:eastAsiaTheme="minorEastAsia"/>
          <w:color w:val="auto"/>
          <w:sz w:val="24"/>
          <w:szCs w:val="24"/>
          <w:lang w:eastAsia="en-GB"/>
        </w:rPr>
        <w:tab/>
      </w:r>
      <w:r>
        <w:t>Requirements for a Backup Navigation System</w:t>
      </w:r>
      <w:r>
        <w:tab/>
      </w:r>
      <w:r>
        <w:fldChar w:fldCharType="begin"/>
      </w:r>
      <w:r>
        <w:instrText xml:space="preserve"> PAGEREF _Toc467068150 \h </w:instrText>
      </w:r>
      <w:r>
        <w:fldChar w:fldCharType="separate"/>
      </w:r>
      <w:r>
        <w:t>11</w:t>
      </w:r>
      <w:r>
        <w:fldChar w:fldCharType="end"/>
      </w:r>
    </w:p>
    <w:p w14:paraId="6887E86A" w14:textId="77777777" w:rsidR="00025586" w:rsidRDefault="00025586">
      <w:pPr>
        <w:pStyle w:val="TOC2"/>
        <w:rPr>
          <w:rFonts w:eastAsiaTheme="minorEastAsia"/>
          <w:color w:val="auto"/>
          <w:sz w:val="24"/>
          <w:szCs w:val="24"/>
          <w:lang w:eastAsia="en-GB"/>
        </w:rPr>
      </w:pPr>
      <w:r>
        <w:t>3.3</w:t>
      </w:r>
      <w:r>
        <w:rPr>
          <w:rFonts w:eastAsiaTheme="minorEastAsia"/>
          <w:color w:val="auto"/>
          <w:sz w:val="24"/>
          <w:szCs w:val="24"/>
          <w:lang w:eastAsia="en-GB"/>
        </w:rPr>
        <w:tab/>
      </w:r>
      <w:r>
        <w:t>GNSS Integrity Warning System</w:t>
      </w:r>
      <w:r>
        <w:tab/>
      </w:r>
      <w:r>
        <w:fldChar w:fldCharType="begin"/>
      </w:r>
      <w:r>
        <w:instrText xml:space="preserve"> PAGEREF _Toc467068151 \h </w:instrText>
      </w:r>
      <w:r>
        <w:fldChar w:fldCharType="separate"/>
      </w:r>
      <w:r>
        <w:t>11</w:t>
      </w:r>
      <w:r>
        <w:fldChar w:fldCharType="end"/>
      </w:r>
    </w:p>
    <w:p w14:paraId="40EC1F8C" w14:textId="77777777" w:rsidR="00025586" w:rsidRDefault="00025586">
      <w:pPr>
        <w:pStyle w:val="TOC2"/>
        <w:rPr>
          <w:rFonts w:eastAsiaTheme="minorEastAsia"/>
          <w:color w:val="auto"/>
          <w:sz w:val="24"/>
          <w:szCs w:val="24"/>
          <w:lang w:eastAsia="en-GB"/>
        </w:rPr>
      </w:pPr>
      <w:r>
        <w:t>3.4</w:t>
      </w:r>
      <w:r>
        <w:rPr>
          <w:rFonts w:eastAsiaTheme="minorEastAsia"/>
          <w:color w:val="auto"/>
          <w:sz w:val="24"/>
          <w:szCs w:val="24"/>
          <w:lang w:eastAsia="en-GB"/>
        </w:rPr>
        <w:tab/>
      </w:r>
      <w:r>
        <w:t>User Receiver Architecture</w:t>
      </w:r>
      <w:r>
        <w:tab/>
      </w:r>
      <w:r>
        <w:fldChar w:fldCharType="begin"/>
      </w:r>
      <w:r>
        <w:instrText xml:space="preserve"> PAGEREF _Toc467068152 \h </w:instrText>
      </w:r>
      <w:r>
        <w:fldChar w:fldCharType="separate"/>
      </w:r>
      <w:r>
        <w:t>11</w:t>
      </w:r>
      <w:r>
        <w:fldChar w:fldCharType="end"/>
      </w:r>
    </w:p>
    <w:p w14:paraId="3D830D0F" w14:textId="77777777" w:rsidR="00025586" w:rsidRDefault="00025586">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t>CONCLUSIONS</w:t>
      </w:r>
      <w:r>
        <w:tab/>
      </w:r>
      <w:r>
        <w:fldChar w:fldCharType="begin"/>
      </w:r>
      <w:r>
        <w:instrText xml:space="preserve"> PAGEREF _Toc467068153 \h </w:instrText>
      </w:r>
      <w:r>
        <w:fldChar w:fldCharType="separate"/>
      </w:r>
      <w:r>
        <w:t>12</w:t>
      </w:r>
      <w:r>
        <w:fldChar w:fldCharType="end"/>
      </w:r>
    </w:p>
    <w:p w14:paraId="6798D210" w14:textId="77777777" w:rsidR="00025586" w:rsidRDefault="00025586">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t>DEFINITIONS</w:t>
      </w:r>
      <w:r>
        <w:tab/>
      </w:r>
      <w:r>
        <w:fldChar w:fldCharType="begin"/>
      </w:r>
      <w:r>
        <w:instrText xml:space="preserve"> PAGEREF _Toc467068154 \h </w:instrText>
      </w:r>
      <w:r>
        <w:fldChar w:fldCharType="separate"/>
      </w:r>
      <w:r>
        <w:t>12</w:t>
      </w:r>
      <w:r>
        <w:fldChar w:fldCharType="end"/>
      </w:r>
    </w:p>
    <w:p w14:paraId="6CBF92F1" w14:textId="77777777" w:rsidR="00025586" w:rsidRDefault="00025586">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t>ACRONYMS</w:t>
      </w:r>
      <w:r>
        <w:tab/>
      </w:r>
      <w:r>
        <w:fldChar w:fldCharType="begin"/>
      </w:r>
      <w:r>
        <w:instrText xml:space="preserve"> PAGEREF _Toc467068155 \h </w:instrText>
      </w:r>
      <w:r>
        <w:fldChar w:fldCharType="separate"/>
      </w:r>
      <w:r>
        <w:t>12</w:t>
      </w:r>
      <w:r>
        <w:fldChar w:fldCharType="end"/>
      </w:r>
    </w:p>
    <w:p w14:paraId="0C750D4F" w14:textId="77777777" w:rsidR="00025586" w:rsidRDefault="00025586">
      <w:pPr>
        <w:pStyle w:val="TOC1"/>
        <w:rPr>
          <w:rFonts w:eastAsiaTheme="minorEastAsia"/>
          <w:b w:val="0"/>
          <w:color w:val="auto"/>
          <w:sz w:val="24"/>
          <w:szCs w:val="24"/>
          <w:lang w:eastAsia="en-GB"/>
        </w:rPr>
      </w:pPr>
      <w:r>
        <w:t>7</w:t>
      </w:r>
      <w:r>
        <w:rPr>
          <w:rFonts w:eastAsiaTheme="minorEastAsia"/>
          <w:b w:val="0"/>
          <w:color w:val="auto"/>
          <w:sz w:val="24"/>
          <w:szCs w:val="24"/>
          <w:lang w:eastAsia="en-GB"/>
        </w:rPr>
        <w:tab/>
      </w:r>
      <w:r>
        <w:t>REFERENCES</w:t>
      </w:r>
      <w:r>
        <w:tab/>
      </w:r>
      <w:r>
        <w:fldChar w:fldCharType="begin"/>
      </w:r>
      <w:r>
        <w:instrText xml:space="preserve"> PAGEREF _Toc467068156 \h </w:instrText>
      </w:r>
      <w:r>
        <w:fldChar w:fldCharType="separate"/>
      </w:r>
      <w:r>
        <w:t>13</w:t>
      </w:r>
      <w:r>
        <w:fldChar w:fldCharType="end"/>
      </w:r>
    </w:p>
    <w:p w14:paraId="018C3697" w14:textId="77777777" w:rsidR="00025586" w:rsidRDefault="00025586">
      <w:pPr>
        <w:pStyle w:val="TOC4"/>
        <w:rPr>
          <w:rFonts w:eastAsiaTheme="minorEastAsia"/>
          <w:b w:val="0"/>
          <w:noProof/>
          <w:color w:val="auto"/>
          <w:sz w:val="24"/>
          <w:szCs w:val="24"/>
          <w:lang w:eastAsia="en-GB"/>
        </w:rPr>
      </w:pPr>
      <w:r w:rsidRPr="008D5F19">
        <w:rPr>
          <w:noProof/>
          <w:u w:color="407EC9"/>
        </w:rPr>
        <w:t>ANNEX A</w:t>
      </w:r>
      <w:r>
        <w:rPr>
          <w:rFonts w:eastAsiaTheme="minorEastAsia"/>
          <w:b w:val="0"/>
          <w:noProof/>
          <w:color w:val="auto"/>
          <w:sz w:val="24"/>
          <w:szCs w:val="24"/>
          <w:lang w:eastAsia="en-GB"/>
        </w:rPr>
        <w:tab/>
      </w:r>
      <w:r w:rsidRPr="008D5F19">
        <w:rPr>
          <w:noProof/>
        </w:rPr>
        <w:t>SUGGESTED MINIMUM MARITIME USER REQUIREMENTS FOR GENERAL NAVIGATION – BACKUP SYSTEM</w:t>
      </w:r>
      <w:r>
        <w:rPr>
          <w:noProof/>
        </w:rPr>
        <w:tab/>
      </w:r>
      <w:r>
        <w:rPr>
          <w:noProof/>
        </w:rPr>
        <w:fldChar w:fldCharType="begin"/>
      </w:r>
      <w:r>
        <w:rPr>
          <w:noProof/>
        </w:rPr>
        <w:instrText xml:space="preserve"> PAGEREF _Toc467068157 \h </w:instrText>
      </w:r>
      <w:r>
        <w:rPr>
          <w:noProof/>
        </w:rPr>
      </w:r>
      <w:r>
        <w:rPr>
          <w:noProof/>
        </w:rPr>
        <w:fldChar w:fldCharType="separate"/>
      </w:r>
      <w:r>
        <w:rPr>
          <w:noProof/>
        </w:rPr>
        <w:t>15</w:t>
      </w:r>
      <w:r>
        <w:rPr>
          <w:noProof/>
        </w:rPr>
        <w:fldChar w:fldCharType="end"/>
      </w:r>
    </w:p>
    <w:p w14:paraId="5780B5C6" w14:textId="77777777" w:rsidR="00642025" w:rsidRPr="002C15C0" w:rsidRDefault="004A4EC4" w:rsidP="00BA5754">
      <w:r w:rsidRPr="002C15C0">
        <w:fldChar w:fldCharType="end"/>
      </w:r>
    </w:p>
    <w:p w14:paraId="7FCA553A" w14:textId="77777777" w:rsidR="0078486B" w:rsidRPr="002C15C0" w:rsidRDefault="002F265A" w:rsidP="00C9558A">
      <w:pPr>
        <w:pStyle w:val="ListofFigures"/>
      </w:pPr>
      <w:r w:rsidRPr="002C15C0">
        <w:t>List of Tables</w:t>
      </w:r>
    </w:p>
    <w:p w14:paraId="69E7E626" w14:textId="77777777" w:rsidR="00025586" w:rsidRDefault="00923B4D">
      <w:pPr>
        <w:pStyle w:val="TableofFigures"/>
        <w:rPr>
          <w:rFonts w:eastAsiaTheme="minorEastAsia"/>
          <w:i w:val="0"/>
          <w:noProof/>
          <w:sz w:val="24"/>
          <w:szCs w:val="24"/>
          <w:lang w:eastAsia="en-GB"/>
        </w:rPr>
      </w:pPr>
      <w:r w:rsidRPr="002C15C0">
        <w:fldChar w:fldCharType="begin"/>
      </w:r>
      <w:r w:rsidRPr="002C15C0">
        <w:instrText xml:space="preserve"> TOC \t "Table caption" \c </w:instrText>
      </w:r>
      <w:r w:rsidRPr="002C15C0">
        <w:fldChar w:fldCharType="separate"/>
      </w:r>
      <w:r w:rsidR="00025586">
        <w:rPr>
          <w:noProof/>
        </w:rPr>
        <w:t>Table 1</w:t>
      </w:r>
      <w:r w:rsidR="00025586">
        <w:rPr>
          <w:rFonts w:eastAsiaTheme="minorEastAsia"/>
          <w:i w:val="0"/>
          <w:noProof/>
          <w:sz w:val="24"/>
          <w:szCs w:val="24"/>
          <w:lang w:eastAsia="en-GB"/>
        </w:rPr>
        <w:tab/>
      </w:r>
      <w:r w:rsidR="00025586">
        <w:rPr>
          <w:noProof/>
        </w:rPr>
        <w:t>Risk Assessments</w:t>
      </w:r>
      <w:r w:rsidR="00025586">
        <w:rPr>
          <w:noProof/>
        </w:rPr>
        <w:tab/>
      </w:r>
      <w:r w:rsidR="00025586">
        <w:rPr>
          <w:noProof/>
        </w:rPr>
        <w:fldChar w:fldCharType="begin"/>
      </w:r>
      <w:r w:rsidR="00025586">
        <w:rPr>
          <w:noProof/>
        </w:rPr>
        <w:instrText xml:space="preserve"> PAGEREF _Toc467068158 \h </w:instrText>
      </w:r>
      <w:r w:rsidR="00025586">
        <w:rPr>
          <w:noProof/>
        </w:rPr>
      </w:r>
      <w:r w:rsidR="00025586">
        <w:rPr>
          <w:noProof/>
        </w:rPr>
        <w:fldChar w:fldCharType="separate"/>
      </w:r>
      <w:r w:rsidR="00025586">
        <w:rPr>
          <w:noProof/>
        </w:rPr>
        <w:t>7</w:t>
      </w:r>
      <w:r w:rsidR="00025586">
        <w:rPr>
          <w:noProof/>
        </w:rPr>
        <w:fldChar w:fldCharType="end"/>
      </w:r>
    </w:p>
    <w:p w14:paraId="00753359" w14:textId="77777777" w:rsidR="00025586" w:rsidRDefault="00025586">
      <w:pPr>
        <w:pStyle w:val="TableofFigures"/>
        <w:rPr>
          <w:rFonts w:eastAsiaTheme="minorEastAsia"/>
          <w:i w:val="0"/>
          <w:noProof/>
          <w:sz w:val="24"/>
          <w:szCs w:val="24"/>
          <w:lang w:eastAsia="en-GB"/>
        </w:rPr>
      </w:pPr>
      <w:r>
        <w:rPr>
          <w:noProof/>
        </w:rPr>
        <w:t>Table 2</w:t>
      </w:r>
      <w:r>
        <w:rPr>
          <w:rFonts w:eastAsiaTheme="minorEastAsia"/>
          <w:i w:val="0"/>
          <w:noProof/>
          <w:sz w:val="24"/>
          <w:szCs w:val="24"/>
          <w:lang w:eastAsia="en-GB"/>
        </w:rPr>
        <w:tab/>
      </w:r>
      <w:r>
        <w:rPr>
          <w:noProof/>
        </w:rPr>
        <w:t>Suggested minimum requirements derived from IMO Resolution A.915(22)</w:t>
      </w:r>
      <w:r>
        <w:rPr>
          <w:noProof/>
        </w:rPr>
        <w:tab/>
      </w:r>
      <w:r>
        <w:rPr>
          <w:noProof/>
        </w:rPr>
        <w:fldChar w:fldCharType="begin"/>
      </w:r>
      <w:r>
        <w:rPr>
          <w:noProof/>
        </w:rPr>
        <w:instrText xml:space="preserve"> PAGEREF _Toc467068159 \h </w:instrText>
      </w:r>
      <w:r>
        <w:rPr>
          <w:noProof/>
        </w:rPr>
      </w:r>
      <w:r>
        <w:rPr>
          <w:noProof/>
        </w:rPr>
        <w:fldChar w:fldCharType="separate"/>
      </w:r>
      <w:r>
        <w:rPr>
          <w:noProof/>
        </w:rPr>
        <w:t>15</w:t>
      </w:r>
      <w:r>
        <w:rPr>
          <w:noProof/>
        </w:rPr>
        <w:fldChar w:fldCharType="end"/>
      </w:r>
    </w:p>
    <w:p w14:paraId="6EE2E687" w14:textId="77777777" w:rsidR="00161325" w:rsidRPr="002C15C0" w:rsidRDefault="00923B4D" w:rsidP="00BA5754">
      <w:r w:rsidRPr="002C15C0">
        <w:fldChar w:fldCharType="end"/>
      </w:r>
    </w:p>
    <w:p w14:paraId="741A5BCC" w14:textId="36A4369F" w:rsidR="00B07717" w:rsidRPr="002C15C0" w:rsidRDefault="00B07717" w:rsidP="00CA3042">
      <w:pPr>
        <w:pStyle w:val="BodyText"/>
      </w:pPr>
    </w:p>
    <w:p w14:paraId="32408C2F" w14:textId="77777777" w:rsidR="00790277" w:rsidRPr="002C15C0" w:rsidRDefault="00790277" w:rsidP="003274DB">
      <w:pPr>
        <w:sectPr w:rsidR="00790277" w:rsidRPr="002C15C0"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714EB047" w14:textId="77777777" w:rsidR="004944C8" w:rsidRPr="002C15C0" w:rsidRDefault="00ED4450" w:rsidP="00DE2814">
      <w:pPr>
        <w:pStyle w:val="Heading1"/>
      </w:pPr>
      <w:bookmarkStart w:id="3" w:name="_Toc467068134"/>
      <w:commentRangeStart w:id="4"/>
      <w:r w:rsidRPr="002C15C0">
        <w:lastRenderedPageBreak/>
        <w:t>INTRODUCTION</w:t>
      </w:r>
      <w:commentRangeEnd w:id="4"/>
      <w:r w:rsidR="00795637" w:rsidRPr="002C15C0">
        <w:rPr>
          <w:rStyle w:val="CommentReference"/>
          <w:rFonts w:asciiTheme="minorHAnsi" w:eastAsiaTheme="minorHAnsi" w:hAnsiTheme="minorHAnsi" w:cstheme="minorBidi"/>
          <w:b w:val="0"/>
          <w:bCs w:val="0"/>
          <w:caps w:val="0"/>
          <w:color w:val="auto"/>
        </w:rPr>
        <w:commentReference w:id="4"/>
      </w:r>
      <w:bookmarkEnd w:id="3"/>
    </w:p>
    <w:p w14:paraId="72CD7F63" w14:textId="77777777" w:rsidR="004944C8" w:rsidRPr="002C15C0" w:rsidRDefault="004944C8" w:rsidP="004944C8">
      <w:pPr>
        <w:pStyle w:val="Heading1separatationline"/>
      </w:pPr>
    </w:p>
    <w:p w14:paraId="4AE3DB2C" w14:textId="38DB2297" w:rsidR="008421BC" w:rsidRPr="002C15C0" w:rsidRDefault="008421BC" w:rsidP="008421BC">
      <w:pPr>
        <w:pStyle w:val="BodyText"/>
      </w:pPr>
      <w:bookmarkStart w:id="5" w:name="_Toc457215592"/>
      <w:r w:rsidRPr="002C15C0">
        <w:t>In 2001, the U.S. Department of Transportation Volpe Center carried out a study of the vulnerability to intentional and unintentional interference of the US transportation infrastructure relying on Global Po</w:t>
      </w:r>
      <w:r w:rsidR="00CA3042" w:rsidRPr="002C15C0">
        <w:t xml:space="preserve">sitioning System (GPS) signals </w:t>
      </w:r>
      <w:r w:rsidR="00CA3042" w:rsidRPr="002C15C0">
        <w:fldChar w:fldCharType="begin"/>
      </w:r>
      <w:r w:rsidR="00CA3042" w:rsidRPr="002C15C0">
        <w:instrText xml:space="preserve"> REF _Ref330386698 \r \h </w:instrText>
      </w:r>
      <w:r w:rsidR="00CA3042" w:rsidRPr="002C15C0">
        <w:fldChar w:fldCharType="separate"/>
      </w:r>
      <w:r w:rsidR="00CA3042" w:rsidRPr="002C15C0">
        <w:t>[1]</w:t>
      </w:r>
      <w:r w:rsidR="00CA3042" w:rsidRPr="002C15C0">
        <w:fldChar w:fldCharType="end"/>
      </w:r>
      <w:r w:rsidRPr="002C15C0">
        <w:t xml:space="preserve">.  A similar study has been carried out for the Radiocommunications Agency in the UK </w:t>
      </w:r>
      <w:r w:rsidR="002C15C0" w:rsidRPr="002C15C0">
        <w:fldChar w:fldCharType="begin"/>
      </w:r>
      <w:r w:rsidR="002C15C0" w:rsidRPr="002C15C0">
        <w:instrText xml:space="preserve"> REF _Ref330386706 \r \h </w:instrText>
      </w:r>
      <w:r w:rsidR="002C15C0" w:rsidRPr="002C15C0">
        <w:fldChar w:fldCharType="separate"/>
      </w:r>
      <w:r w:rsidR="002C15C0" w:rsidRPr="002C15C0">
        <w:t>[2]</w:t>
      </w:r>
      <w:r w:rsidR="002C15C0" w:rsidRPr="002C15C0">
        <w:fldChar w:fldCharType="end"/>
      </w:r>
      <w:r w:rsidRPr="002C15C0">
        <w:t>.  Studies have also been carried out in Europe in preparation for the Galileo project</w:t>
      </w:r>
      <w:r w:rsidR="002C15C0" w:rsidRPr="002C15C0">
        <w:t xml:space="preserve"> </w:t>
      </w:r>
      <w:r w:rsidR="002C15C0" w:rsidRPr="002C15C0">
        <w:fldChar w:fldCharType="begin"/>
      </w:r>
      <w:r w:rsidR="002C15C0" w:rsidRPr="002C15C0">
        <w:instrText xml:space="preserve"> REF _Ref330386711 \r \h </w:instrText>
      </w:r>
      <w:r w:rsidR="002C15C0" w:rsidRPr="002C15C0">
        <w:fldChar w:fldCharType="separate"/>
      </w:r>
      <w:r w:rsidR="002C15C0" w:rsidRPr="002C15C0">
        <w:t>[3]</w:t>
      </w:r>
      <w:r w:rsidR="002C15C0" w:rsidRPr="002C15C0">
        <w:fldChar w:fldCharType="end"/>
      </w:r>
      <w:r w:rsidRPr="002C15C0">
        <w:t xml:space="preserve"> &amp; </w:t>
      </w:r>
      <w:r w:rsidR="002C15C0" w:rsidRPr="002C15C0">
        <w:fldChar w:fldCharType="begin"/>
      </w:r>
      <w:r w:rsidR="002C15C0" w:rsidRPr="002C15C0">
        <w:instrText xml:space="preserve"> REF _Ref330386718 \r \h </w:instrText>
      </w:r>
      <w:r w:rsidR="002C15C0" w:rsidRPr="002C15C0">
        <w:fldChar w:fldCharType="separate"/>
      </w:r>
      <w:r w:rsidR="002C15C0" w:rsidRPr="002C15C0">
        <w:t>[4]</w:t>
      </w:r>
      <w:r w:rsidR="002C15C0" w:rsidRPr="002C15C0">
        <w:fldChar w:fldCharType="end"/>
      </w:r>
      <w:r w:rsidRPr="002C15C0">
        <w:t xml:space="preserve">.  A recent study by the Royal Academy of Engineering has investigated the level of reliance on and the vulnerabilities of GNSS </w:t>
      </w:r>
      <w:r w:rsidR="00CA3042" w:rsidRPr="002C15C0">
        <w:fldChar w:fldCharType="begin"/>
      </w:r>
      <w:r w:rsidR="00CA3042" w:rsidRPr="002C15C0">
        <w:instrText xml:space="preserve"> REF _Ref330386814 \r \h </w:instrText>
      </w:r>
      <w:r w:rsidR="00CA3042" w:rsidRPr="002C15C0">
        <w:fldChar w:fldCharType="separate"/>
      </w:r>
      <w:r w:rsidR="00CA3042" w:rsidRPr="002C15C0">
        <w:t>[5]</w:t>
      </w:r>
      <w:r w:rsidR="00CA3042" w:rsidRPr="002C15C0">
        <w:fldChar w:fldCharType="end"/>
      </w:r>
      <w:r w:rsidRPr="002C15C0">
        <w:t>.  These studies indicate that Global Navigation Satellite Systems (GNSS) have vulnerabilities to intentional and unintentional interference.</w:t>
      </w:r>
    </w:p>
    <w:p w14:paraId="225C0A31" w14:textId="3A2EBB13" w:rsidR="008421BC" w:rsidRPr="002C15C0" w:rsidRDefault="008421BC" w:rsidP="008421BC">
      <w:pPr>
        <w:pStyle w:val="Heading2"/>
      </w:pPr>
      <w:bookmarkStart w:id="6" w:name="_Toc467068135"/>
      <w:r w:rsidRPr="002C15C0">
        <w:t>Background</w:t>
      </w:r>
      <w:bookmarkEnd w:id="6"/>
    </w:p>
    <w:p w14:paraId="2DCBA9E9" w14:textId="77777777" w:rsidR="008421BC" w:rsidRPr="002C15C0" w:rsidRDefault="008421BC" w:rsidP="008421BC">
      <w:pPr>
        <w:pStyle w:val="Heading2separationline"/>
      </w:pPr>
    </w:p>
    <w:p w14:paraId="3FFFC029" w14:textId="648DEECD" w:rsidR="008421BC" w:rsidRPr="002C15C0" w:rsidRDefault="008421BC" w:rsidP="008421BC">
      <w:pPr>
        <w:pStyle w:val="BodyText"/>
      </w:pPr>
      <w:r w:rsidRPr="002C15C0">
        <w:t>The IMO Strategy for e-Navigation contains a high-level user need for data and system integrity that states:</w:t>
      </w:r>
    </w:p>
    <w:p w14:paraId="517BADE0" w14:textId="0D03DDFE" w:rsidR="008421BC" w:rsidRPr="002C15C0" w:rsidRDefault="002C15C0" w:rsidP="008421BC">
      <w:pPr>
        <w:pStyle w:val="BodyText"/>
      </w:pPr>
      <w:r>
        <w:t>‘</w:t>
      </w:r>
      <w:r w:rsidR="008421BC" w:rsidRPr="002C15C0">
        <w:t>e-Navigation systems should be resilient and take into account issues of data validity, plausibility and integrity for the system to be robust, reliable and dependable. Requirements for redundancy, particularly in relation to position fixing systems, should be considered.</w:t>
      </w:r>
      <w:r>
        <w:t>’</w:t>
      </w:r>
    </w:p>
    <w:p w14:paraId="10CA4112" w14:textId="77777777" w:rsidR="008421BC" w:rsidRPr="002C15C0" w:rsidRDefault="008421BC" w:rsidP="008421BC">
      <w:pPr>
        <w:pStyle w:val="BodyText"/>
      </w:pPr>
      <w:r w:rsidRPr="002C15C0">
        <w:t>In addressing the issue of Position Fixing, it can be defined as accurate and reliable electronic position, navigation and timing signals, with ‘fail-safe’ performance (probably provided through multiple redundancy, e.g. GNSS, differential transmitters, eLoran and defaulting receivers or onboard inertial navigation devices).</w:t>
      </w:r>
    </w:p>
    <w:p w14:paraId="3A2F0916" w14:textId="74E342A2" w:rsidR="008421BC" w:rsidRPr="002C15C0" w:rsidRDefault="008421BC" w:rsidP="008421BC">
      <w:pPr>
        <w:pStyle w:val="BodyText"/>
      </w:pPr>
      <w:r w:rsidRPr="002C15C0">
        <w:t>The increasing reliance on GNSS in all types of position finding and navigation, including position and time inputs to Automatic Identification Systems (AIS), underlines the importance of an objective consideration of possible areas of vulnerability and a consideration of measures to reduce or mitigate such effects.  The need for measures to counteract vulnerability has become particularly important with the phasing out of other systems and should be taken into account in the formulation of radio-navigation plan</w:t>
      </w:r>
      <w:r w:rsidR="002C15C0">
        <w:t xml:space="preserve">s.  In the aviation context, </w:t>
      </w:r>
      <w:r w:rsidR="002C15C0">
        <w:fldChar w:fldCharType="begin"/>
      </w:r>
      <w:r w:rsidR="002C15C0">
        <w:instrText xml:space="preserve"> REF _Ref330386821 \r \h </w:instrText>
      </w:r>
      <w:r w:rsidR="002C15C0">
        <w:fldChar w:fldCharType="separate"/>
      </w:r>
      <w:r w:rsidR="002C15C0">
        <w:t>[6]</w:t>
      </w:r>
      <w:r w:rsidR="002C15C0">
        <w:fldChar w:fldCharType="end"/>
      </w:r>
      <w:r w:rsidRPr="002C15C0">
        <w:t xml:space="preserve"> indicates that the problem of GNSS vulnerability is manageable by the retention of existing te</w:t>
      </w:r>
      <w:r w:rsidR="006F0AC3">
        <w:t>rrestrial systems (VOR/DME, NDB</w:t>
      </w:r>
      <w:r w:rsidRPr="002C15C0">
        <w:t>) as backups.  Similar consideration is given here to the maritime environment.</w:t>
      </w:r>
    </w:p>
    <w:p w14:paraId="397C57A6" w14:textId="79421998" w:rsidR="008421BC" w:rsidRPr="002C15C0" w:rsidRDefault="008421BC" w:rsidP="008421BC">
      <w:pPr>
        <w:pStyle w:val="Heading2"/>
      </w:pPr>
      <w:bookmarkStart w:id="7" w:name="_Toc467068136"/>
      <w:r w:rsidRPr="002C15C0">
        <w:t>Scope</w:t>
      </w:r>
      <w:bookmarkEnd w:id="7"/>
    </w:p>
    <w:p w14:paraId="77DCE722" w14:textId="77777777" w:rsidR="008421BC" w:rsidRPr="002C15C0" w:rsidRDefault="008421BC" w:rsidP="008421BC">
      <w:pPr>
        <w:pStyle w:val="Heading2separationline"/>
      </w:pPr>
    </w:p>
    <w:p w14:paraId="723B6028" w14:textId="77777777" w:rsidR="008421BC" w:rsidRPr="002C15C0" w:rsidRDefault="008421BC" w:rsidP="008421BC">
      <w:pPr>
        <w:pStyle w:val="BodyText"/>
      </w:pPr>
      <w:r w:rsidRPr="002C15C0">
        <w:t>This document considers all types of GNSS vulnerability within the maritime field, and the mitigation measures that may be used to overcome them.</w:t>
      </w:r>
    </w:p>
    <w:p w14:paraId="6AE4CB1A" w14:textId="2AE83FDA" w:rsidR="008421BC" w:rsidRPr="002C15C0" w:rsidRDefault="008421BC" w:rsidP="008421BC">
      <w:pPr>
        <w:pStyle w:val="BodyText"/>
      </w:pPr>
      <w:r w:rsidRPr="002C15C0">
        <w:t>The effect on marine navigation of interruptions to GNSS will be significant.  Where natural events, such as space weather, affect GNSS signal reception, it is likely that the effects will be observed over large areas and during any phase of navigation.  Man-made interference is most likely to arise within coastal waters, since the sources of man-made interference are likely to be land-based and will be restricted to line-of-sight. However, the possibility of deliberate shipborne or airborne jamming cannot be ruled out.</w:t>
      </w:r>
    </w:p>
    <w:p w14:paraId="665085ED" w14:textId="77777777" w:rsidR="008421BC" w:rsidRPr="002C15C0" w:rsidRDefault="008421BC" w:rsidP="008421BC">
      <w:pPr>
        <w:pStyle w:val="BodyText"/>
      </w:pPr>
      <w:r w:rsidRPr="002C15C0">
        <w:t>It is accepted as good practice that all available sources of positioning information should normally be used.</w:t>
      </w:r>
    </w:p>
    <w:p w14:paraId="5E0EA4C2" w14:textId="4988E179" w:rsidR="008421BC" w:rsidRPr="002C15C0" w:rsidRDefault="008421BC" w:rsidP="008421BC">
      <w:pPr>
        <w:pStyle w:val="Heading1"/>
      </w:pPr>
      <w:bookmarkStart w:id="8" w:name="_Toc467068137"/>
      <w:r w:rsidRPr="002C15C0">
        <w:t>SOURCES OF VULNERABILITY</w:t>
      </w:r>
      <w:bookmarkEnd w:id="8"/>
    </w:p>
    <w:p w14:paraId="233EC742" w14:textId="77777777" w:rsidR="008421BC" w:rsidRPr="002C15C0" w:rsidRDefault="008421BC" w:rsidP="008421BC">
      <w:pPr>
        <w:pStyle w:val="Heading1separatationline"/>
      </w:pPr>
    </w:p>
    <w:p w14:paraId="72D395E4" w14:textId="77777777" w:rsidR="008421BC" w:rsidRPr="002C15C0" w:rsidRDefault="008421BC" w:rsidP="008421BC">
      <w:pPr>
        <w:pStyle w:val="BodyText"/>
      </w:pPr>
      <w:r w:rsidRPr="002C15C0">
        <w:t>Some failure modes are common to all types of electronic navigation system.  The system itself can fail, for example because of deliberate or accidental damage to the ground infrastructure.  Given the military nature of present GNSS – GPS &amp; GLONASS, it may be assumed that security levels are high and that standby equipment is provided.  Experience with GPS bears this out and system failure can be assumed to be a very rare event.  Security measures for Galileo are comparable to those for GPS, with the exception that the satellites are not hardened to resist electro-magnetic pulses from nuclear explosions.  Failure of individual GPS satellites is not unusual, although the Mean-Time-To-Repair is less than 48 hours.</w:t>
      </w:r>
    </w:p>
    <w:p w14:paraId="3A2A4FDA" w14:textId="5BD84E14" w:rsidR="008421BC" w:rsidRPr="002C15C0" w:rsidRDefault="008421BC" w:rsidP="008421BC">
      <w:pPr>
        <w:pStyle w:val="BodyText"/>
      </w:pPr>
      <w:r w:rsidRPr="002C15C0">
        <w:lastRenderedPageBreak/>
        <w:t xml:space="preserve">GNSS is particularly susceptible to accidental or malicious interference due to the extremely low level of the signal at the user receiver.  Unintentional sources of interference or interruption in service include ionospheric variability, the effects of solar activity, and also strong signals, harmonics or intermodulation products from powerful transmitters operating in other bands or from sources close to the GNSS receiver.  Intentional causes of interference include the radiating of deliberate narrow-band or broad-band jamming signals.  The Volpe Report also identifies as a hazard </w:t>
      </w:r>
      <w:r w:rsidR="002C15C0">
        <w:t>‘</w:t>
      </w:r>
      <w:r w:rsidRPr="002C15C0">
        <w:t>spoofing</w:t>
      </w:r>
      <w:r w:rsidR="002C15C0">
        <w:t>’</w:t>
      </w:r>
      <w:r w:rsidRPr="002C15C0">
        <w:t xml:space="preserve"> in which a false GNSS signal is radiated with the intention of deceiving the user.</w:t>
      </w:r>
    </w:p>
    <w:p w14:paraId="04463A23" w14:textId="77777777" w:rsidR="008421BC" w:rsidRPr="002C15C0" w:rsidRDefault="008421BC" w:rsidP="008421BC">
      <w:pPr>
        <w:pStyle w:val="BodyText"/>
      </w:pPr>
      <w:r w:rsidRPr="002C15C0">
        <w:t>Failure of electronic equipment on board a vessel is also not uncommon, due to power supply failure or to a fault, temporary or permanent, in the receiver or antenna.  The measures to counteract these problems are the same as for other onboard systems - the use of standby power supplies (required for SOLAS vessels), and following installation and fault-finding guidelines.  Although the IMO carriage requirement is for a single Electronic Position Fixing System, it is quite common for more than one receiver for that system to be fitted to provide redundancy in the event of equipment failure.</w:t>
      </w:r>
    </w:p>
    <w:p w14:paraId="1530FF53" w14:textId="12237850" w:rsidR="008421BC" w:rsidRPr="002C15C0" w:rsidRDefault="008421BC" w:rsidP="008421BC">
      <w:pPr>
        <w:pStyle w:val="BodyText"/>
      </w:pPr>
      <w:r w:rsidRPr="002C15C0">
        <w:t>A less commonly observed failure mode is the permanent or temporary disablement of GNSS receiver antennae subjected to high power radar transmissions, owing to microwave damage to, or saturation of, internal components</w:t>
      </w:r>
      <w:r w:rsidR="002C1F3D">
        <w:t xml:space="preserve"> </w:t>
      </w:r>
      <w:r w:rsidR="000E4A56">
        <w:fldChar w:fldCharType="begin"/>
      </w:r>
      <w:r w:rsidR="000E4A56">
        <w:instrText xml:space="preserve"> REF _Ref330386835 \r \h </w:instrText>
      </w:r>
      <w:r w:rsidR="000E4A56">
        <w:fldChar w:fldCharType="separate"/>
      </w:r>
      <w:r w:rsidR="000E4A56">
        <w:t>[7]</w:t>
      </w:r>
      <w:r w:rsidR="000E4A56">
        <w:fldChar w:fldCharType="end"/>
      </w:r>
      <w:r w:rsidRPr="002C15C0">
        <w:t>.</w:t>
      </w:r>
    </w:p>
    <w:p w14:paraId="13BFC5E2" w14:textId="77777777" w:rsidR="008421BC" w:rsidRPr="002C15C0" w:rsidRDefault="008421BC" w:rsidP="008421BC">
      <w:pPr>
        <w:pStyle w:val="BodyText"/>
      </w:pPr>
      <w:r w:rsidRPr="002C15C0">
        <w:t>The widespread adoption of GNSS has resulted in a tendency to rely heavily on electronic systems – ‘heads down’ navigation – with a perceived reluctance to use alternative means for position verification, as recommended by the International Maritime Organization (IMO).</w:t>
      </w:r>
    </w:p>
    <w:p w14:paraId="3F172174" w14:textId="3A6F02D2" w:rsidR="008421BC" w:rsidRPr="002C15C0" w:rsidRDefault="008421BC" w:rsidP="008421BC">
      <w:pPr>
        <w:pStyle w:val="Heading2"/>
      </w:pPr>
      <w:bookmarkStart w:id="9" w:name="_Ref467060940"/>
      <w:bookmarkStart w:id="10" w:name="_Toc467068138"/>
      <w:r w:rsidRPr="002C15C0">
        <w:t>Interference Sources</w:t>
      </w:r>
      <w:bookmarkEnd w:id="9"/>
      <w:bookmarkEnd w:id="10"/>
    </w:p>
    <w:p w14:paraId="4FCC15F1" w14:textId="77777777" w:rsidR="008421BC" w:rsidRPr="002C15C0" w:rsidRDefault="008421BC" w:rsidP="008421BC">
      <w:pPr>
        <w:pStyle w:val="Heading2separationline"/>
      </w:pPr>
    </w:p>
    <w:p w14:paraId="756B3B60" w14:textId="77777777" w:rsidR="008421BC" w:rsidRPr="002C15C0" w:rsidRDefault="008421BC" w:rsidP="008421BC">
      <w:pPr>
        <w:pStyle w:val="BodyText"/>
      </w:pPr>
      <w:r w:rsidRPr="002C15C0">
        <w:t>Unintentional interference may come from natural or man-made sources.</w:t>
      </w:r>
    </w:p>
    <w:p w14:paraId="2DD1C2B8" w14:textId="77777777" w:rsidR="008421BC" w:rsidRPr="002C15C0" w:rsidRDefault="008421BC" w:rsidP="008421BC">
      <w:pPr>
        <w:pStyle w:val="BodyText"/>
      </w:pPr>
      <w:r w:rsidRPr="002C15C0">
        <w:t>Ionospheric variability and the effects of solar activity on radionavigation systems have been the subject of research for many years.  Reference [8] reports the effect of scintillation of GPS signals.  The effects of ionospheric variability are to increase errors of position fixes and these may exceed the limits laid down in the relevant IMO Resolution [9] and may even lead to failure of the receiver to lock onto satellites’ signals.  The Galileo (and future GPS) Integrity System should detect large ionospheric disturbance effects and provide warnings.</w:t>
      </w:r>
    </w:p>
    <w:p w14:paraId="6327D599" w14:textId="77777777" w:rsidR="008421BC" w:rsidRPr="002C15C0" w:rsidRDefault="008421BC" w:rsidP="008421BC">
      <w:pPr>
        <w:pStyle w:val="BodyText"/>
      </w:pPr>
      <w:r w:rsidRPr="002C15C0">
        <w:t>Sources of shore-based unintentional man-made interference may include television broadcasts, microwave communications - both fixed links and satellite uplinks – and VTS radars.  Interference from television broadcasts and microwave fixed links can be especially serious as it can affect all vessels within a significant area or on a particular waterway.</w:t>
      </w:r>
    </w:p>
    <w:p w14:paraId="0A3A36BC" w14:textId="125C18E2" w:rsidR="008421BC" w:rsidRPr="002C15C0" w:rsidRDefault="008421BC" w:rsidP="008421BC">
      <w:pPr>
        <w:pStyle w:val="BodyText"/>
      </w:pPr>
      <w:r w:rsidRPr="002C15C0">
        <w:t xml:space="preserve">Interference from onboard equipment such as satellite uplinks and radars can be minimised by correct installation practices.  However, such interference may originate on board other vessels in the vicinity.  In that case, it becomes difficult or impossible to do anything about it. </w:t>
      </w:r>
      <w:r w:rsidR="000E4A56">
        <w:t xml:space="preserve"> </w:t>
      </w:r>
      <w:r w:rsidRPr="002C15C0">
        <w:t>This could be a very serious problem in harbours and harbour approaches.</w:t>
      </w:r>
    </w:p>
    <w:p w14:paraId="76529034" w14:textId="77777777" w:rsidR="008421BC" w:rsidRPr="002C15C0" w:rsidRDefault="008421BC" w:rsidP="008421BC">
      <w:pPr>
        <w:pStyle w:val="BodyText"/>
      </w:pPr>
      <w:r w:rsidRPr="002C15C0">
        <w:t>INMARSAT frequencies are close to those of GNSS and GNSS antenna installations should take account of the variation of signal elevation with latitude, where steerable dish antennas are used.</w:t>
      </w:r>
    </w:p>
    <w:p w14:paraId="587306C9" w14:textId="13BE9B64" w:rsidR="008421BC" w:rsidRPr="002C15C0" w:rsidRDefault="008421BC" w:rsidP="008421BC">
      <w:pPr>
        <w:pStyle w:val="BodyText"/>
      </w:pPr>
      <w:r w:rsidRPr="002C15C0">
        <w:t xml:space="preserve">Interference has also been noted from poorly designed consumer-grade equipment such as active TV antennas on the vessel itself or other vessels in its proximity </w:t>
      </w:r>
      <w:r w:rsidR="000E4A56">
        <w:fldChar w:fldCharType="begin"/>
      </w:r>
      <w:r w:rsidR="000E4A56">
        <w:instrText xml:space="preserve"> REF _Ref330386860 \r \h </w:instrText>
      </w:r>
      <w:r w:rsidR="000E4A56">
        <w:fldChar w:fldCharType="separate"/>
      </w:r>
      <w:r w:rsidR="000E4A56">
        <w:t>[10]</w:t>
      </w:r>
      <w:r w:rsidR="000E4A56">
        <w:fldChar w:fldCharType="end"/>
      </w:r>
      <w:r w:rsidRPr="002C15C0">
        <w:t>.</w:t>
      </w:r>
    </w:p>
    <w:p w14:paraId="4FD83C70" w14:textId="77777777" w:rsidR="008421BC" w:rsidRPr="002C15C0" w:rsidRDefault="008421BC" w:rsidP="008421BC">
      <w:pPr>
        <w:pStyle w:val="BodyText"/>
      </w:pPr>
      <w:r w:rsidRPr="002C15C0">
        <w:t>Electromagnetic Compatibility plans are an IMO requirement for all systems on SOLAS ships, but the thoroughness with which they are applied may vary because they can be costly to implement.  Measurement and analysis of onboard interference sources is a specialised subject about which there is a shortage of knowledge and training.  Space limitations on masts often make it difficult to achieve the ideal antenna installation for any system (not just GNSS).</w:t>
      </w:r>
    </w:p>
    <w:p w14:paraId="35937259" w14:textId="6FB9B1FA" w:rsidR="008421BC" w:rsidRPr="002C15C0" w:rsidRDefault="008421BC" w:rsidP="008421BC">
      <w:pPr>
        <w:pStyle w:val="Heading2"/>
      </w:pPr>
      <w:bookmarkStart w:id="11" w:name="_Ref467059855"/>
      <w:bookmarkStart w:id="12" w:name="_Toc467068139"/>
      <w:r w:rsidRPr="002C15C0">
        <w:lastRenderedPageBreak/>
        <w:t>Jamming &amp; Spoofing</w:t>
      </w:r>
      <w:bookmarkEnd w:id="11"/>
      <w:bookmarkEnd w:id="12"/>
    </w:p>
    <w:p w14:paraId="09E34AD0" w14:textId="77777777" w:rsidR="008421BC" w:rsidRPr="002C15C0" w:rsidRDefault="008421BC" w:rsidP="008421BC">
      <w:pPr>
        <w:pStyle w:val="Heading2separationline"/>
      </w:pPr>
    </w:p>
    <w:p w14:paraId="74969C1E" w14:textId="77777777" w:rsidR="008421BC" w:rsidRPr="002C15C0" w:rsidRDefault="008421BC" w:rsidP="008421BC">
      <w:pPr>
        <w:pStyle w:val="BodyText"/>
      </w:pPr>
      <w:r w:rsidRPr="002C15C0">
        <w:t>Jamming of GNSS signals can be achieved quite easily using relatively low-cost equipment.  This is because of the extremely low power levels of the signals at the earth’s surface (minimum -160 dBW for GPS, -154 dBW for Galileo).  Spread spectrum signals such as those of GPS are less vulnerable to a single frequency jammer than to a broadband one.  Since all the GPS satellites transmit on one frequency, a single jammer normally takes out every satellite.  Frequency division systems such as GLONASS could, in theory, still give a service when a narrow band jammer takes out one or two satellites’ signals.  On the other hand, it is easy to design a jammer that transmits on several frequencies simultaneously, considering the low power levels required for efficient jamming.  Galileo will have the advantage of time for the development of counter-measures and a security board will oversee such matters as interruption in time of war.</w:t>
      </w:r>
    </w:p>
    <w:p w14:paraId="50F0184B" w14:textId="72334980" w:rsidR="008421BC" w:rsidRPr="002C15C0" w:rsidRDefault="008421BC" w:rsidP="008421BC">
      <w:pPr>
        <w:pStyle w:val="BodyText"/>
      </w:pPr>
      <w:r w:rsidRPr="002C15C0">
        <w:t>Spoofing is more difficult to achieve, as it is necessary to simulate the signals to make the receiver lock on to the false signals.  However, GPS signal simulators are readily available items of industry test equipment.  Furthermore, the consequences of spoofing are far more serious than those of jamming.  If the false signals are indistinguishable from the real ones and give a position close enough to be believable, then the user may not be aware of the deception and could be led into danger.  An authentication service, such as that proposed for Galileo, could be an effective counter measure to spoofing.</w:t>
      </w:r>
    </w:p>
    <w:p w14:paraId="25E0D694" w14:textId="58690263" w:rsidR="008421BC" w:rsidRPr="002C15C0" w:rsidRDefault="008421BC" w:rsidP="008421BC">
      <w:pPr>
        <w:pStyle w:val="BodyText"/>
      </w:pPr>
      <w:r w:rsidRPr="002C15C0">
        <w:t>Given the relative difficulties of jamming and spoofing, jamming is more likely to be encountered.  There have been several recorded incidents of deliberate jamming by military authorities.  The maritime world is highly vulnerable to jamming effects on navigation, AIS and GMDSS equipment. AtoN provision can be affected, with regard to DGNSS, VT</w:t>
      </w:r>
      <w:r w:rsidR="000E4A56">
        <w:t xml:space="preserve">S and GNSS-synchronised lights </w:t>
      </w:r>
      <w:r w:rsidR="000E4A56">
        <w:fldChar w:fldCharType="begin"/>
      </w:r>
      <w:r w:rsidR="000E4A56">
        <w:instrText xml:space="preserve"> REF _Ref330386886 \r \h </w:instrText>
      </w:r>
      <w:r w:rsidR="000E4A56">
        <w:fldChar w:fldCharType="separate"/>
      </w:r>
      <w:r w:rsidR="000E4A56">
        <w:t>[11]</w:t>
      </w:r>
      <w:r w:rsidR="000E4A56">
        <w:fldChar w:fldCharType="end"/>
      </w:r>
      <w:r w:rsidRPr="002C15C0">
        <w:t>.  Additionally, the implementation of e-Navigation is expected to result in an increased reliance on timing-dependent communications systems, which may utilise GNSS.</w:t>
      </w:r>
    </w:p>
    <w:p w14:paraId="3D94C3BB" w14:textId="77777777" w:rsidR="008421BC" w:rsidRPr="002C15C0" w:rsidRDefault="008421BC" w:rsidP="008421BC">
      <w:pPr>
        <w:pStyle w:val="BodyText"/>
      </w:pPr>
      <w:r w:rsidRPr="002C15C0">
        <w:t>Malicious jamming of GNSS may be thought of as analogous to attacking computers with viruses, and likely to appeal to the same kinds of perpetrator.  Many Internet sites give details of how to achieve it.  The sort of area that could be affected with a simple jammer would not be just a single port approach.  GNSS service could be denied over the whole of an area of high traffic density such as the Straits of Dover or the Straits of Malacca.</w:t>
      </w:r>
    </w:p>
    <w:p w14:paraId="0F25C038" w14:textId="77777777" w:rsidR="008421BC" w:rsidRPr="002C15C0" w:rsidRDefault="008421BC" w:rsidP="008421BC">
      <w:pPr>
        <w:pStyle w:val="BodyText"/>
      </w:pPr>
      <w:r w:rsidRPr="002C15C0">
        <w:t>Jamming countermeasures are already available in the form of directional antennas and tuneable filters on military receivers. Jamming will become more difficult as more frequencies become available, but it will still be possible.  The slightly higher power levels of Galileo and GPS III will reduce vulnerability and the combination of multiple GNSS will be better than one system alone. However, susceptibility to jamming cannot be eliminated.</w:t>
      </w:r>
    </w:p>
    <w:p w14:paraId="364BCB4F" w14:textId="26AB7574" w:rsidR="008421BC" w:rsidRPr="002C15C0" w:rsidRDefault="008421BC" w:rsidP="008421BC">
      <w:pPr>
        <w:pStyle w:val="BodyText"/>
      </w:pPr>
      <w:r w:rsidRPr="002C15C0">
        <w:t xml:space="preserve">An important consideration is the duration of the jamming event.  The consequences of brief interruptions are clearly less serious than a prolonged denial of service.  Measures to deal with jamming would also depend on its duration. Providing technical personnel to track down jammers would be justified and effective if long periods of jamming were to be expected, but could be ineffective against </w:t>
      </w:r>
      <w:r w:rsidR="002C15C0">
        <w:t>‘</w:t>
      </w:r>
      <w:r w:rsidRPr="002C15C0">
        <w:t>hit and run</w:t>
      </w:r>
      <w:r w:rsidR="002C15C0">
        <w:t>’</w:t>
      </w:r>
      <w:r w:rsidRPr="002C15C0">
        <w:t xml:space="preserve"> jamming.  In fact, many countries already have teams and resources allocated to deal with jamming and interference.  It is important that they are made aware of the threat to safety of life services posed by the possible interruption of GNSS.</w:t>
      </w:r>
    </w:p>
    <w:p w14:paraId="14C35A90" w14:textId="1FE4CB46" w:rsidR="008421BC" w:rsidRPr="002C15C0" w:rsidRDefault="008421BC" w:rsidP="008421BC">
      <w:pPr>
        <w:pStyle w:val="Heading2"/>
      </w:pPr>
      <w:bookmarkStart w:id="13" w:name="_Toc467068140"/>
      <w:r w:rsidRPr="002C15C0">
        <w:t>Risk Analysis</w:t>
      </w:r>
      <w:bookmarkEnd w:id="13"/>
    </w:p>
    <w:p w14:paraId="2756FA8C" w14:textId="77777777" w:rsidR="008421BC" w:rsidRPr="002C15C0" w:rsidRDefault="008421BC" w:rsidP="008421BC">
      <w:pPr>
        <w:pStyle w:val="Heading2separationline"/>
      </w:pPr>
    </w:p>
    <w:p w14:paraId="2575F705" w14:textId="77777777" w:rsidR="008421BC" w:rsidRPr="002C15C0" w:rsidRDefault="008421BC" w:rsidP="008421BC">
      <w:pPr>
        <w:pStyle w:val="BodyText"/>
      </w:pPr>
      <w:r w:rsidRPr="002C15C0">
        <w:t>Analysing the risk of losing GNSS is difficult.  The user may note that the signal has been lost for a period and has then returned, but has no way of knowing the cause, be it external or onboard interference, accidental or intentional.</w:t>
      </w:r>
    </w:p>
    <w:p w14:paraId="399230D7" w14:textId="4F8D8155" w:rsidR="008421BC" w:rsidRPr="002C15C0" w:rsidRDefault="008421BC" w:rsidP="008421BC">
      <w:pPr>
        <w:pStyle w:val="BodyText"/>
      </w:pPr>
      <w:r w:rsidRPr="002C15C0">
        <w:t xml:space="preserve">Consequences to navigation applications may range from complete loss of signal, false position information or intermittent loss to degradation of accuracy. </w:t>
      </w:r>
      <w:r w:rsidR="000E4A56">
        <w:t xml:space="preserve"> </w:t>
      </w:r>
      <w:r w:rsidRPr="002C15C0">
        <w:t>Consequences to timing applications may include failure due to loss of synchronisation.</w:t>
      </w:r>
    </w:p>
    <w:p w14:paraId="38688086" w14:textId="2081D0B6" w:rsidR="008421BC" w:rsidRPr="002C15C0" w:rsidRDefault="008421BC" w:rsidP="008421BC">
      <w:pPr>
        <w:pStyle w:val="BodyText"/>
      </w:pPr>
      <w:r w:rsidRPr="002C15C0">
        <w:lastRenderedPageBreak/>
        <w:fldChar w:fldCharType="begin"/>
      </w:r>
      <w:r w:rsidRPr="002C15C0">
        <w:instrText xml:space="preserve"> REF _Ref467059449 \r \h </w:instrText>
      </w:r>
      <w:r w:rsidRPr="002C15C0">
        <w:fldChar w:fldCharType="separate"/>
      </w:r>
      <w:r w:rsidRPr="002C15C0">
        <w:t>Table 1</w:t>
      </w:r>
      <w:r w:rsidRPr="002C15C0">
        <w:fldChar w:fldCharType="end"/>
      </w:r>
      <w:r w:rsidRPr="002C15C0">
        <w:t xml:space="preserve"> gives subjective assessments of the different risks in terms of their perceived probability of occurrence, consequences and the difficulty and cost of mitigation.  It is emphasised that these are subjective judgements, based on expert opinions.  A quantitative risk analysis should be carried out if possible.</w:t>
      </w:r>
    </w:p>
    <w:p w14:paraId="1C17550C" w14:textId="4ED69697" w:rsidR="008421BC" w:rsidRPr="002C15C0" w:rsidRDefault="008421BC" w:rsidP="008421BC">
      <w:pPr>
        <w:pStyle w:val="Tablecaption"/>
        <w:jc w:val="center"/>
      </w:pPr>
      <w:bookmarkStart w:id="14" w:name="_Ref467059449"/>
      <w:bookmarkStart w:id="15" w:name="_Toc467068158"/>
      <w:commentRangeStart w:id="16"/>
      <w:r w:rsidRPr="002C15C0">
        <w:t>Risk Assessments</w:t>
      </w:r>
      <w:bookmarkEnd w:id="14"/>
      <w:bookmarkEnd w:id="1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1980"/>
        <w:gridCol w:w="1980"/>
        <w:gridCol w:w="1932"/>
      </w:tblGrid>
      <w:tr w:rsidR="008421BC" w:rsidRPr="002C15C0" w14:paraId="203DF4BA" w14:textId="77777777" w:rsidTr="002C1F3D">
        <w:trPr>
          <w:jc w:val="center"/>
        </w:trPr>
        <w:tc>
          <w:tcPr>
            <w:tcW w:w="2628" w:type="dxa"/>
          </w:tcPr>
          <w:p w14:paraId="3A45D377" w14:textId="77777777" w:rsidR="008421BC" w:rsidRPr="002C15C0" w:rsidRDefault="008421BC" w:rsidP="008421BC">
            <w:pPr>
              <w:pStyle w:val="Tableheading"/>
              <w:jc w:val="center"/>
              <w:rPr>
                <w:lang w:val="en-GB"/>
              </w:rPr>
            </w:pPr>
            <w:r w:rsidRPr="002C15C0">
              <w:rPr>
                <w:lang w:val="en-GB"/>
              </w:rPr>
              <w:t>Event</w:t>
            </w:r>
          </w:p>
        </w:tc>
        <w:tc>
          <w:tcPr>
            <w:tcW w:w="1980" w:type="dxa"/>
          </w:tcPr>
          <w:p w14:paraId="23CE49A3" w14:textId="77777777" w:rsidR="008421BC" w:rsidRPr="002C15C0" w:rsidRDefault="008421BC" w:rsidP="008421BC">
            <w:pPr>
              <w:pStyle w:val="Tableheading"/>
              <w:jc w:val="center"/>
              <w:rPr>
                <w:lang w:val="en-GB"/>
              </w:rPr>
            </w:pPr>
            <w:r w:rsidRPr="002C15C0">
              <w:rPr>
                <w:lang w:val="en-GB"/>
              </w:rPr>
              <w:t>Probability of Occurrence</w:t>
            </w:r>
          </w:p>
        </w:tc>
        <w:tc>
          <w:tcPr>
            <w:tcW w:w="1980" w:type="dxa"/>
          </w:tcPr>
          <w:p w14:paraId="3BEBAEAF" w14:textId="77777777" w:rsidR="008421BC" w:rsidRPr="002C15C0" w:rsidRDefault="008421BC" w:rsidP="008421BC">
            <w:pPr>
              <w:pStyle w:val="Tableheading"/>
              <w:jc w:val="center"/>
              <w:rPr>
                <w:lang w:val="en-GB"/>
              </w:rPr>
            </w:pPr>
            <w:r w:rsidRPr="002C15C0">
              <w:rPr>
                <w:lang w:val="en-GB"/>
              </w:rPr>
              <w:t>Consequences</w:t>
            </w:r>
          </w:p>
        </w:tc>
        <w:tc>
          <w:tcPr>
            <w:tcW w:w="1932" w:type="dxa"/>
          </w:tcPr>
          <w:p w14:paraId="5B993974" w14:textId="77777777" w:rsidR="008421BC" w:rsidRPr="002C15C0" w:rsidRDefault="008421BC" w:rsidP="008421BC">
            <w:pPr>
              <w:pStyle w:val="Tableheading"/>
              <w:jc w:val="center"/>
              <w:rPr>
                <w:lang w:val="en-GB"/>
              </w:rPr>
            </w:pPr>
            <w:r w:rsidRPr="002C15C0">
              <w:rPr>
                <w:lang w:val="en-GB"/>
              </w:rPr>
              <w:t>Mitigation difficulty/cost</w:t>
            </w:r>
          </w:p>
        </w:tc>
      </w:tr>
      <w:tr w:rsidR="008421BC" w:rsidRPr="002C15C0" w14:paraId="5D3F72B2" w14:textId="77777777" w:rsidTr="002C1F3D">
        <w:trPr>
          <w:jc w:val="center"/>
        </w:trPr>
        <w:tc>
          <w:tcPr>
            <w:tcW w:w="2628" w:type="dxa"/>
          </w:tcPr>
          <w:p w14:paraId="03E25865" w14:textId="77777777" w:rsidR="008421BC" w:rsidRPr="002C15C0" w:rsidRDefault="008421BC" w:rsidP="008421BC">
            <w:pPr>
              <w:pStyle w:val="Tabletext"/>
            </w:pPr>
            <w:r w:rsidRPr="002C15C0">
              <w:t xml:space="preserve"> GNSS Service failure</w:t>
            </w:r>
          </w:p>
        </w:tc>
        <w:tc>
          <w:tcPr>
            <w:tcW w:w="1980" w:type="dxa"/>
          </w:tcPr>
          <w:p w14:paraId="1D65BF7C" w14:textId="77777777" w:rsidR="008421BC" w:rsidRPr="002C15C0" w:rsidRDefault="008421BC" w:rsidP="008421BC">
            <w:pPr>
              <w:pStyle w:val="Tabletext"/>
              <w:jc w:val="center"/>
            </w:pPr>
            <w:r w:rsidRPr="002C15C0">
              <w:t>L</w:t>
            </w:r>
          </w:p>
        </w:tc>
        <w:tc>
          <w:tcPr>
            <w:tcW w:w="1980" w:type="dxa"/>
          </w:tcPr>
          <w:p w14:paraId="636FB2A4" w14:textId="77777777" w:rsidR="008421BC" w:rsidRPr="002C15C0" w:rsidRDefault="008421BC" w:rsidP="008421BC">
            <w:pPr>
              <w:pStyle w:val="Tabletext"/>
              <w:jc w:val="center"/>
            </w:pPr>
            <w:r w:rsidRPr="002C15C0">
              <w:t>H</w:t>
            </w:r>
          </w:p>
        </w:tc>
        <w:tc>
          <w:tcPr>
            <w:tcW w:w="1932" w:type="dxa"/>
          </w:tcPr>
          <w:p w14:paraId="4F251911" w14:textId="77777777" w:rsidR="008421BC" w:rsidRPr="002C15C0" w:rsidRDefault="008421BC" w:rsidP="008421BC">
            <w:pPr>
              <w:pStyle w:val="Tabletext"/>
              <w:jc w:val="center"/>
            </w:pPr>
            <w:r w:rsidRPr="002C15C0">
              <w:t>H</w:t>
            </w:r>
          </w:p>
        </w:tc>
      </w:tr>
      <w:tr w:rsidR="008421BC" w:rsidRPr="002C15C0" w14:paraId="0BDBA4F8" w14:textId="77777777" w:rsidTr="002C1F3D">
        <w:trPr>
          <w:jc w:val="center"/>
        </w:trPr>
        <w:tc>
          <w:tcPr>
            <w:tcW w:w="2628" w:type="dxa"/>
          </w:tcPr>
          <w:p w14:paraId="6620087A" w14:textId="77777777" w:rsidR="008421BC" w:rsidRPr="002C15C0" w:rsidRDefault="008421BC" w:rsidP="008421BC">
            <w:pPr>
              <w:pStyle w:val="Tabletext"/>
            </w:pPr>
            <w:r w:rsidRPr="002C15C0">
              <w:t>Power supply failure</w:t>
            </w:r>
          </w:p>
        </w:tc>
        <w:tc>
          <w:tcPr>
            <w:tcW w:w="1980" w:type="dxa"/>
          </w:tcPr>
          <w:p w14:paraId="75F22D26" w14:textId="77777777" w:rsidR="008421BC" w:rsidRPr="002C15C0" w:rsidRDefault="008421BC" w:rsidP="008421BC">
            <w:pPr>
              <w:pStyle w:val="Tabletext"/>
              <w:jc w:val="center"/>
            </w:pPr>
            <w:r w:rsidRPr="002C15C0">
              <w:t>M</w:t>
            </w:r>
          </w:p>
        </w:tc>
        <w:tc>
          <w:tcPr>
            <w:tcW w:w="1980" w:type="dxa"/>
          </w:tcPr>
          <w:p w14:paraId="66BAFC2B" w14:textId="77777777" w:rsidR="008421BC" w:rsidRPr="002C15C0" w:rsidRDefault="008421BC" w:rsidP="008421BC">
            <w:pPr>
              <w:pStyle w:val="Tabletext"/>
              <w:jc w:val="center"/>
            </w:pPr>
            <w:r w:rsidRPr="002C15C0">
              <w:t>H</w:t>
            </w:r>
          </w:p>
        </w:tc>
        <w:tc>
          <w:tcPr>
            <w:tcW w:w="1932" w:type="dxa"/>
          </w:tcPr>
          <w:p w14:paraId="2E68F715" w14:textId="77777777" w:rsidR="008421BC" w:rsidRPr="002C15C0" w:rsidRDefault="008421BC" w:rsidP="008421BC">
            <w:pPr>
              <w:pStyle w:val="Tabletext"/>
              <w:jc w:val="center"/>
            </w:pPr>
            <w:r w:rsidRPr="002C15C0">
              <w:t>L</w:t>
            </w:r>
          </w:p>
        </w:tc>
      </w:tr>
      <w:tr w:rsidR="008421BC" w:rsidRPr="002C15C0" w14:paraId="3FA2B3F3" w14:textId="77777777" w:rsidTr="002C1F3D">
        <w:trPr>
          <w:jc w:val="center"/>
        </w:trPr>
        <w:tc>
          <w:tcPr>
            <w:tcW w:w="2628" w:type="dxa"/>
          </w:tcPr>
          <w:p w14:paraId="04546463" w14:textId="77777777" w:rsidR="008421BC" w:rsidRPr="002C15C0" w:rsidRDefault="008421BC" w:rsidP="008421BC">
            <w:pPr>
              <w:pStyle w:val="Tabletext"/>
            </w:pPr>
            <w:r w:rsidRPr="002C15C0">
              <w:t>Receiver/antenna failure</w:t>
            </w:r>
          </w:p>
        </w:tc>
        <w:tc>
          <w:tcPr>
            <w:tcW w:w="1980" w:type="dxa"/>
          </w:tcPr>
          <w:p w14:paraId="349BD679" w14:textId="77777777" w:rsidR="008421BC" w:rsidRPr="002C15C0" w:rsidRDefault="008421BC" w:rsidP="008421BC">
            <w:pPr>
              <w:pStyle w:val="Tabletext"/>
              <w:jc w:val="center"/>
            </w:pPr>
            <w:r w:rsidRPr="002C15C0">
              <w:t>M</w:t>
            </w:r>
          </w:p>
        </w:tc>
        <w:tc>
          <w:tcPr>
            <w:tcW w:w="1980" w:type="dxa"/>
          </w:tcPr>
          <w:p w14:paraId="597FB5C0" w14:textId="77777777" w:rsidR="008421BC" w:rsidRPr="002C15C0" w:rsidRDefault="008421BC" w:rsidP="008421BC">
            <w:pPr>
              <w:pStyle w:val="Tabletext"/>
              <w:jc w:val="center"/>
            </w:pPr>
            <w:r w:rsidRPr="002C15C0">
              <w:t>H</w:t>
            </w:r>
          </w:p>
        </w:tc>
        <w:tc>
          <w:tcPr>
            <w:tcW w:w="1932" w:type="dxa"/>
          </w:tcPr>
          <w:p w14:paraId="136C5FC5" w14:textId="77777777" w:rsidR="008421BC" w:rsidRPr="002C15C0" w:rsidRDefault="008421BC" w:rsidP="008421BC">
            <w:pPr>
              <w:pStyle w:val="Tabletext"/>
              <w:jc w:val="center"/>
            </w:pPr>
            <w:r w:rsidRPr="002C15C0">
              <w:t>L</w:t>
            </w:r>
          </w:p>
        </w:tc>
      </w:tr>
      <w:tr w:rsidR="008421BC" w:rsidRPr="002C15C0" w14:paraId="5871E54B" w14:textId="77777777" w:rsidTr="002C1F3D">
        <w:trPr>
          <w:jc w:val="center"/>
        </w:trPr>
        <w:tc>
          <w:tcPr>
            <w:tcW w:w="2628" w:type="dxa"/>
          </w:tcPr>
          <w:p w14:paraId="5FDE51A2" w14:textId="77777777" w:rsidR="008421BC" w:rsidRPr="002C15C0" w:rsidRDefault="008421BC" w:rsidP="008421BC">
            <w:pPr>
              <w:pStyle w:val="Tabletext"/>
            </w:pPr>
            <w:r w:rsidRPr="002C15C0">
              <w:t>Onboard interference</w:t>
            </w:r>
          </w:p>
        </w:tc>
        <w:tc>
          <w:tcPr>
            <w:tcW w:w="1980" w:type="dxa"/>
          </w:tcPr>
          <w:p w14:paraId="6EEEA451" w14:textId="77777777" w:rsidR="008421BC" w:rsidRPr="002C15C0" w:rsidRDefault="008421BC" w:rsidP="008421BC">
            <w:pPr>
              <w:pStyle w:val="Tabletext"/>
              <w:jc w:val="center"/>
            </w:pPr>
            <w:r w:rsidRPr="002C15C0">
              <w:t>M</w:t>
            </w:r>
          </w:p>
        </w:tc>
        <w:tc>
          <w:tcPr>
            <w:tcW w:w="1980" w:type="dxa"/>
          </w:tcPr>
          <w:p w14:paraId="5422A9EA" w14:textId="77777777" w:rsidR="008421BC" w:rsidRPr="002C15C0" w:rsidRDefault="008421BC" w:rsidP="008421BC">
            <w:pPr>
              <w:pStyle w:val="Tabletext"/>
              <w:jc w:val="center"/>
            </w:pPr>
            <w:r w:rsidRPr="002C15C0">
              <w:t>M</w:t>
            </w:r>
          </w:p>
        </w:tc>
        <w:tc>
          <w:tcPr>
            <w:tcW w:w="1932" w:type="dxa"/>
          </w:tcPr>
          <w:p w14:paraId="50DD64D3" w14:textId="77777777" w:rsidR="008421BC" w:rsidRPr="002C15C0" w:rsidRDefault="008421BC" w:rsidP="008421BC">
            <w:pPr>
              <w:pStyle w:val="Tabletext"/>
              <w:jc w:val="center"/>
            </w:pPr>
            <w:r w:rsidRPr="002C15C0">
              <w:t>L</w:t>
            </w:r>
          </w:p>
        </w:tc>
      </w:tr>
      <w:tr w:rsidR="008421BC" w:rsidRPr="002C15C0" w14:paraId="68BF4FAF" w14:textId="77777777" w:rsidTr="002C1F3D">
        <w:trPr>
          <w:jc w:val="center"/>
        </w:trPr>
        <w:tc>
          <w:tcPr>
            <w:tcW w:w="2628" w:type="dxa"/>
          </w:tcPr>
          <w:p w14:paraId="247644A4" w14:textId="77777777" w:rsidR="008421BC" w:rsidRPr="002C15C0" w:rsidRDefault="008421BC" w:rsidP="008421BC">
            <w:pPr>
              <w:pStyle w:val="Tabletext"/>
            </w:pPr>
            <w:r w:rsidRPr="002C15C0">
              <w:t>External interference</w:t>
            </w:r>
          </w:p>
        </w:tc>
        <w:tc>
          <w:tcPr>
            <w:tcW w:w="1980" w:type="dxa"/>
          </w:tcPr>
          <w:p w14:paraId="68340B9C" w14:textId="77777777" w:rsidR="008421BC" w:rsidRPr="002C15C0" w:rsidRDefault="008421BC" w:rsidP="008421BC">
            <w:pPr>
              <w:pStyle w:val="Tabletext"/>
              <w:jc w:val="center"/>
            </w:pPr>
            <w:r w:rsidRPr="002C15C0">
              <w:t>L</w:t>
            </w:r>
          </w:p>
        </w:tc>
        <w:tc>
          <w:tcPr>
            <w:tcW w:w="1980" w:type="dxa"/>
          </w:tcPr>
          <w:p w14:paraId="2FAE5D2E" w14:textId="77777777" w:rsidR="008421BC" w:rsidRPr="002C15C0" w:rsidRDefault="008421BC" w:rsidP="008421BC">
            <w:pPr>
              <w:pStyle w:val="Tabletext"/>
              <w:jc w:val="center"/>
            </w:pPr>
            <w:r w:rsidRPr="002C15C0">
              <w:t>H</w:t>
            </w:r>
          </w:p>
        </w:tc>
        <w:tc>
          <w:tcPr>
            <w:tcW w:w="1932" w:type="dxa"/>
          </w:tcPr>
          <w:p w14:paraId="4F396AB4" w14:textId="77777777" w:rsidR="008421BC" w:rsidRPr="002C15C0" w:rsidRDefault="008421BC" w:rsidP="008421BC">
            <w:pPr>
              <w:pStyle w:val="Tabletext"/>
              <w:jc w:val="center"/>
            </w:pPr>
            <w:r w:rsidRPr="002C15C0">
              <w:t>M</w:t>
            </w:r>
          </w:p>
        </w:tc>
      </w:tr>
      <w:tr w:rsidR="008421BC" w:rsidRPr="002C15C0" w14:paraId="549FD9A0" w14:textId="77777777" w:rsidTr="002C1F3D">
        <w:trPr>
          <w:jc w:val="center"/>
        </w:trPr>
        <w:tc>
          <w:tcPr>
            <w:tcW w:w="2628" w:type="dxa"/>
          </w:tcPr>
          <w:p w14:paraId="0E60D3AE" w14:textId="77777777" w:rsidR="008421BC" w:rsidRPr="002C15C0" w:rsidRDefault="008421BC" w:rsidP="008421BC">
            <w:pPr>
              <w:pStyle w:val="Tabletext"/>
            </w:pPr>
            <w:r w:rsidRPr="002C15C0">
              <w:t>Ionospheric</w:t>
            </w:r>
          </w:p>
        </w:tc>
        <w:tc>
          <w:tcPr>
            <w:tcW w:w="1980" w:type="dxa"/>
          </w:tcPr>
          <w:p w14:paraId="33A56B4A" w14:textId="77777777" w:rsidR="008421BC" w:rsidRPr="002C15C0" w:rsidRDefault="008421BC" w:rsidP="008421BC">
            <w:pPr>
              <w:pStyle w:val="Tabletext"/>
              <w:jc w:val="center"/>
            </w:pPr>
            <w:r w:rsidRPr="002C15C0">
              <w:t>L</w:t>
            </w:r>
          </w:p>
        </w:tc>
        <w:tc>
          <w:tcPr>
            <w:tcW w:w="1980" w:type="dxa"/>
          </w:tcPr>
          <w:p w14:paraId="6C11CEBF" w14:textId="77777777" w:rsidR="008421BC" w:rsidRPr="002C15C0" w:rsidRDefault="008421BC" w:rsidP="008421BC">
            <w:pPr>
              <w:pStyle w:val="Tabletext"/>
              <w:jc w:val="center"/>
            </w:pPr>
            <w:r w:rsidRPr="002C15C0">
              <w:t>M</w:t>
            </w:r>
          </w:p>
        </w:tc>
        <w:tc>
          <w:tcPr>
            <w:tcW w:w="1932" w:type="dxa"/>
          </w:tcPr>
          <w:p w14:paraId="02355F90" w14:textId="77777777" w:rsidR="008421BC" w:rsidRPr="002C15C0" w:rsidRDefault="008421BC" w:rsidP="008421BC">
            <w:pPr>
              <w:pStyle w:val="Tabletext"/>
              <w:jc w:val="center"/>
            </w:pPr>
            <w:r w:rsidRPr="002C15C0">
              <w:t>M</w:t>
            </w:r>
          </w:p>
        </w:tc>
      </w:tr>
      <w:tr w:rsidR="008421BC" w:rsidRPr="002C15C0" w14:paraId="211EF7BE" w14:textId="77777777" w:rsidTr="002C1F3D">
        <w:trPr>
          <w:jc w:val="center"/>
        </w:trPr>
        <w:tc>
          <w:tcPr>
            <w:tcW w:w="2628" w:type="dxa"/>
          </w:tcPr>
          <w:p w14:paraId="136C9F74" w14:textId="77777777" w:rsidR="008421BC" w:rsidRPr="002C15C0" w:rsidRDefault="008421BC" w:rsidP="008421BC">
            <w:pPr>
              <w:pStyle w:val="Tabletext"/>
            </w:pPr>
            <w:r w:rsidRPr="002C15C0">
              <w:t>Jamming</w:t>
            </w:r>
          </w:p>
        </w:tc>
        <w:tc>
          <w:tcPr>
            <w:tcW w:w="1980" w:type="dxa"/>
          </w:tcPr>
          <w:p w14:paraId="492DE4D4" w14:textId="77777777" w:rsidR="008421BC" w:rsidRPr="002C15C0" w:rsidRDefault="008421BC" w:rsidP="008421BC">
            <w:pPr>
              <w:pStyle w:val="Tabletext"/>
              <w:jc w:val="center"/>
            </w:pPr>
            <w:r w:rsidRPr="002C15C0">
              <w:t>L</w:t>
            </w:r>
          </w:p>
        </w:tc>
        <w:tc>
          <w:tcPr>
            <w:tcW w:w="1980" w:type="dxa"/>
          </w:tcPr>
          <w:p w14:paraId="00B081FF" w14:textId="77777777" w:rsidR="008421BC" w:rsidRPr="002C15C0" w:rsidRDefault="008421BC" w:rsidP="008421BC">
            <w:pPr>
              <w:pStyle w:val="Tabletext"/>
              <w:jc w:val="center"/>
            </w:pPr>
            <w:r w:rsidRPr="002C15C0">
              <w:t>H</w:t>
            </w:r>
          </w:p>
        </w:tc>
        <w:tc>
          <w:tcPr>
            <w:tcW w:w="1932" w:type="dxa"/>
          </w:tcPr>
          <w:p w14:paraId="0E77B31C" w14:textId="77777777" w:rsidR="008421BC" w:rsidRPr="002C15C0" w:rsidRDefault="008421BC" w:rsidP="008421BC">
            <w:pPr>
              <w:pStyle w:val="Tabletext"/>
              <w:jc w:val="center"/>
            </w:pPr>
            <w:r w:rsidRPr="002C15C0">
              <w:t>M</w:t>
            </w:r>
          </w:p>
        </w:tc>
      </w:tr>
      <w:tr w:rsidR="008421BC" w:rsidRPr="002C15C0" w14:paraId="474DF8ED" w14:textId="77777777" w:rsidTr="002C1F3D">
        <w:trPr>
          <w:jc w:val="center"/>
        </w:trPr>
        <w:tc>
          <w:tcPr>
            <w:tcW w:w="2628" w:type="dxa"/>
          </w:tcPr>
          <w:p w14:paraId="3C12E657" w14:textId="77777777" w:rsidR="008421BC" w:rsidRPr="002C15C0" w:rsidRDefault="008421BC" w:rsidP="008421BC">
            <w:pPr>
              <w:pStyle w:val="Tabletext"/>
            </w:pPr>
            <w:r w:rsidRPr="002C15C0">
              <w:t>Spoofing</w:t>
            </w:r>
          </w:p>
        </w:tc>
        <w:tc>
          <w:tcPr>
            <w:tcW w:w="1980" w:type="dxa"/>
          </w:tcPr>
          <w:p w14:paraId="3C1B5D2D" w14:textId="77777777" w:rsidR="008421BC" w:rsidRPr="002C15C0" w:rsidRDefault="008421BC" w:rsidP="008421BC">
            <w:pPr>
              <w:pStyle w:val="Tabletext"/>
              <w:jc w:val="center"/>
            </w:pPr>
            <w:r w:rsidRPr="002C15C0">
              <w:t>L</w:t>
            </w:r>
          </w:p>
        </w:tc>
        <w:tc>
          <w:tcPr>
            <w:tcW w:w="1980" w:type="dxa"/>
          </w:tcPr>
          <w:p w14:paraId="00D2671C" w14:textId="77777777" w:rsidR="008421BC" w:rsidRPr="002C15C0" w:rsidRDefault="008421BC" w:rsidP="008421BC">
            <w:pPr>
              <w:pStyle w:val="Tabletext"/>
              <w:jc w:val="center"/>
            </w:pPr>
            <w:r w:rsidRPr="002C15C0">
              <w:t>H*</w:t>
            </w:r>
          </w:p>
        </w:tc>
        <w:tc>
          <w:tcPr>
            <w:tcW w:w="1932" w:type="dxa"/>
          </w:tcPr>
          <w:p w14:paraId="22CA55E5" w14:textId="77777777" w:rsidR="008421BC" w:rsidRPr="002C15C0" w:rsidRDefault="008421BC" w:rsidP="008421BC">
            <w:pPr>
              <w:pStyle w:val="Tabletext"/>
              <w:jc w:val="center"/>
            </w:pPr>
            <w:r w:rsidRPr="002C15C0">
              <w:t>H</w:t>
            </w:r>
          </w:p>
        </w:tc>
      </w:tr>
      <w:tr w:rsidR="008421BC" w:rsidRPr="002C15C0" w14:paraId="041D9E84" w14:textId="77777777" w:rsidTr="002C1F3D">
        <w:trPr>
          <w:jc w:val="center"/>
        </w:trPr>
        <w:tc>
          <w:tcPr>
            <w:tcW w:w="2628" w:type="dxa"/>
          </w:tcPr>
          <w:p w14:paraId="15536D10" w14:textId="77777777" w:rsidR="008421BC" w:rsidRPr="002C15C0" w:rsidRDefault="008421BC" w:rsidP="008421BC">
            <w:pPr>
              <w:pStyle w:val="Tabletext"/>
            </w:pPr>
            <w:r w:rsidRPr="002C15C0">
              <w:t>Radar burn-out</w:t>
            </w:r>
          </w:p>
        </w:tc>
        <w:tc>
          <w:tcPr>
            <w:tcW w:w="1980" w:type="dxa"/>
          </w:tcPr>
          <w:p w14:paraId="3C8BA939" w14:textId="77777777" w:rsidR="008421BC" w:rsidRPr="002C15C0" w:rsidRDefault="008421BC" w:rsidP="008421BC">
            <w:pPr>
              <w:pStyle w:val="Tabletext"/>
              <w:jc w:val="center"/>
            </w:pPr>
            <w:r w:rsidRPr="002C15C0">
              <w:t>L</w:t>
            </w:r>
          </w:p>
        </w:tc>
        <w:tc>
          <w:tcPr>
            <w:tcW w:w="1980" w:type="dxa"/>
          </w:tcPr>
          <w:p w14:paraId="54E7C234" w14:textId="77777777" w:rsidR="008421BC" w:rsidRPr="002C15C0" w:rsidRDefault="008421BC" w:rsidP="008421BC">
            <w:pPr>
              <w:pStyle w:val="Tabletext"/>
              <w:jc w:val="center"/>
            </w:pPr>
            <w:r w:rsidRPr="002C15C0">
              <w:t>H</w:t>
            </w:r>
          </w:p>
        </w:tc>
        <w:tc>
          <w:tcPr>
            <w:tcW w:w="1932" w:type="dxa"/>
          </w:tcPr>
          <w:p w14:paraId="5A121E34" w14:textId="77777777" w:rsidR="008421BC" w:rsidRPr="002C15C0" w:rsidRDefault="008421BC" w:rsidP="008421BC">
            <w:pPr>
              <w:pStyle w:val="Tabletext"/>
              <w:jc w:val="center"/>
            </w:pPr>
            <w:r w:rsidRPr="002C15C0">
              <w:t>L</w:t>
            </w:r>
          </w:p>
        </w:tc>
      </w:tr>
    </w:tbl>
    <w:p w14:paraId="2EF1EC6C" w14:textId="7D02AEC5" w:rsidR="008421BC" w:rsidRPr="002C15C0" w:rsidRDefault="008421BC" w:rsidP="008421BC"/>
    <w:p w14:paraId="630CC1D4" w14:textId="7B74D8D9" w:rsidR="004259EF" w:rsidRPr="002C15C0" w:rsidRDefault="004259EF" w:rsidP="008421BC">
      <w:pPr>
        <w:pStyle w:val="BodyText"/>
        <w:rPr>
          <w:b/>
        </w:rPr>
      </w:pPr>
      <w:r w:rsidRPr="002C15C0">
        <w:rPr>
          <w:b/>
          <w:color w:val="427EC9"/>
        </w:rPr>
        <w:t>Notes</w:t>
      </w:r>
    </w:p>
    <w:p w14:paraId="33AEEADF" w14:textId="02A76CE7" w:rsidR="008421BC" w:rsidRPr="002C15C0" w:rsidRDefault="008421BC" w:rsidP="004259EF">
      <w:pPr>
        <w:pStyle w:val="BodyText"/>
        <w:ind w:left="567"/>
      </w:pPr>
      <w:r w:rsidRPr="002C15C0">
        <w:t>H = High.  High probability means likely to be encountered more than once a year.</w:t>
      </w:r>
      <w:r w:rsidR="000E4A56">
        <w:t xml:space="preserve"> </w:t>
      </w:r>
      <w:r w:rsidRPr="002C15C0">
        <w:t xml:space="preserve"> High consequence means complete loss of use of the system.  High difficulty or cost of mitigation means it is unlikely to be achieved.</w:t>
      </w:r>
    </w:p>
    <w:p w14:paraId="58753B29" w14:textId="77777777" w:rsidR="008421BC" w:rsidRPr="002C15C0" w:rsidRDefault="008421BC" w:rsidP="004259EF">
      <w:pPr>
        <w:pStyle w:val="BodyText"/>
        <w:ind w:left="567"/>
      </w:pPr>
      <w:r w:rsidRPr="002C15C0">
        <w:t>M = Medium.  Medium probability means likely to be encountered less than once a year. Medium consequence means system still usable, but degraded.  Medium difficulty or cost means achievable at significant cost.</w:t>
      </w:r>
    </w:p>
    <w:p w14:paraId="246B7F0B" w14:textId="77777777" w:rsidR="008421BC" w:rsidRPr="002C15C0" w:rsidRDefault="008421BC" w:rsidP="004259EF">
      <w:pPr>
        <w:pStyle w:val="BodyText"/>
        <w:ind w:left="567"/>
      </w:pPr>
      <w:r w:rsidRPr="002C15C0">
        <w:t>L = Low.  Low probability means unlikely to be encountered.  Low difficulty or cost means mitigation should be achieved.</w:t>
      </w:r>
    </w:p>
    <w:p w14:paraId="4AF59918" w14:textId="332D8FFC" w:rsidR="008421BC" w:rsidRPr="002C15C0" w:rsidRDefault="008421BC" w:rsidP="004259EF">
      <w:pPr>
        <w:pStyle w:val="BodyText"/>
        <w:ind w:left="567"/>
      </w:pPr>
      <w:r w:rsidRPr="002C15C0">
        <w:t xml:space="preserve">* </w:t>
      </w:r>
      <w:r w:rsidR="004259EF" w:rsidRPr="002C15C0">
        <w:t>indicates</w:t>
      </w:r>
      <w:r w:rsidRPr="002C15C0">
        <w:t xml:space="preserve"> the more serious implications of spoofing.</w:t>
      </w:r>
      <w:commentRangeEnd w:id="16"/>
      <w:r w:rsidR="00A70D98">
        <w:rPr>
          <w:rStyle w:val="CommentReference"/>
        </w:rPr>
        <w:commentReference w:id="16"/>
      </w:r>
    </w:p>
    <w:p w14:paraId="4AFF0E3A" w14:textId="08191D39" w:rsidR="008421BC" w:rsidRPr="002C15C0" w:rsidRDefault="008421BC" w:rsidP="004259EF">
      <w:pPr>
        <w:pStyle w:val="Heading2"/>
      </w:pPr>
      <w:bookmarkStart w:id="17" w:name="_Toc467068141"/>
      <w:r w:rsidRPr="002C15C0">
        <w:t>Mitigation</w:t>
      </w:r>
      <w:bookmarkEnd w:id="17"/>
    </w:p>
    <w:p w14:paraId="4682C72F" w14:textId="77777777" w:rsidR="004259EF" w:rsidRPr="002C15C0" w:rsidRDefault="004259EF" w:rsidP="004259EF">
      <w:pPr>
        <w:pStyle w:val="Heading2separationline"/>
      </w:pPr>
    </w:p>
    <w:p w14:paraId="35D19F1D" w14:textId="46FD9C4B" w:rsidR="008421BC" w:rsidRPr="002C15C0" w:rsidRDefault="008421BC" w:rsidP="008421BC">
      <w:pPr>
        <w:pStyle w:val="BodyText"/>
      </w:pPr>
      <w:r w:rsidRPr="002C15C0">
        <w:t xml:space="preserve">This subjective risk analysis helps to identify the threats that should be addressed by the user, particularly those with high probability, high consequences and low mitigation cost. The use of GNSS receiver equipment compliant with the latest performance standards will significantly reduce </w:t>
      </w:r>
      <w:r w:rsidR="000E4A56">
        <w:t>susceptibility to interference.</w:t>
      </w:r>
    </w:p>
    <w:p w14:paraId="45D1DF6C" w14:textId="1CA20557" w:rsidR="008421BC" w:rsidRPr="002C15C0" w:rsidRDefault="008421BC" w:rsidP="008421BC">
      <w:pPr>
        <w:pStyle w:val="BodyText"/>
      </w:pPr>
      <w:r w:rsidRPr="002C15C0">
        <w:t>Awareness of the problem and changes in the design of future systems such as greater radiated power, increased receiver sophistication and added operating frequencies can serve to mitigate the impact of some of the threats to some degree.  However, system vulnerability, particularly to deliberate attack, cannot be fully eliminated.  This message was clear and repeated several times in the Volpe Report.  Modification of the present systems can reduce the effect of natural and inadvertent sources of noise and interference.  Calculated attempts to jam or otherwise deny the user community the positioning and timing services of GNSS will be far more difficult to anticipate and combat.  Therefore</w:t>
      </w:r>
      <w:r w:rsidR="004259EF" w:rsidRPr="002C15C0">
        <w:t>,</w:t>
      </w:r>
      <w:r w:rsidRPr="002C15C0">
        <w:t xml:space="preserve"> maintenance and development of adequate alternative systems is essential.</w:t>
      </w:r>
    </w:p>
    <w:p w14:paraId="1F74FB71" w14:textId="65E19981" w:rsidR="008421BC" w:rsidRPr="002C15C0" w:rsidRDefault="008421BC" w:rsidP="008421BC">
      <w:pPr>
        <w:pStyle w:val="BodyText"/>
      </w:pPr>
      <w:r w:rsidRPr="002C15C0">
        <w:t>Through using an integrated PNT approach as part of the INS, it may be possible to indicate to the mariner the level of performance available (i.e. accuracy, integrity, continuity etc</w:t>
      </w:r>
      <w:r w:rsidR="004259EF" w:rsidRPr="002C15C0">
        <w:t>.</w:t>
      </w:r>
      <w:r w:rsidRPr="002C15C0">
        <w:t>).  Should the primary and redundant means of PNT become unavailable, the system could then indicate whether the primary or back-up require</w:t>
      </w:r>
      <w:r w:rsidR="000E4A56">
        <w:t>ments can be achieved, or not.</w:t>
      </w:r>
    </w:p>
    <w:p w14:paraId="65DEE348" w14:textId="1974E17F" w:rsidR="008421BC" w:rsidRPr="002C15C0" w:rsidRDefault="004259EF" w:rsidP="004259EF">
      <w:pPr>
        <w:pStyle w:val="Heading2"/>
      </w:pPr>
      <w:bookmarkStart w:id="18" w:name="_Toc467068142"/>
      <w:r w:rsidRPr="002C15C0">
        <w:lastRenderedPageBreak/>
        <w:t>Alternative Systems</w:t>
      </w:r>
      <w:bookmarkEnd w:id="18"/>
    </w:p>
    <w:p w14:paraId="78060182" w14:textId="77777777" w:rsidR="004259EF" w:rsidRPr="002C15C0" w:rsidRDefault="004259EF" w:rsidP="004259EF">
      <w:pPr>
        <w:pStyle w:val="Heading2separationline"/>
      </w:pPr>
    </w:p>
    <w:p w14:paraId="32C23B11" w14:textId="73E674D4" w:rsidR="008421BC" w:rsidRPr="002C15C0" w:rsidRDefault="008421BC" w:rsidP="008421BC">
      <w:pPr>
        <w:pStyle w:val="BodyText"/>
      </w:pPr>
      <w:r w:rsidRPr="002C15C0">
        <w:t>Alternative means of navigation may be provided at various levels; fully re</w:t>
      </w:r>
      <w:r w:rsidR="004259EF" w:rsidRPr="002C15C0">
        <w:t>dundant, backup and contingency.</w:t>
      </w:r>
      <w:r w:rsidR="004259EF" w:rsidRPr="002C15C0">
        <w:rPr>
          <w:rStyle w:val="FootnoteReference"/>
        </w:rPr>
        <w:footnoteReference w:id="1"/>
      </w:r>
    </w:p>
    <w:p w14:paraId="6060C2F5" w14:textId="1B500EE3" w:rsidR="008421BC" w:rsidRPr="002C15C0" w:rsidRDefault="004259EF" w:rsidP="004259EF">
      <w:pPr>
        <w:pStyle w:val="Bullet1"/>
      </w:pPr>
      <w:r w:rsidRPr="002C15C0">
        <w:t>a</w:t>
      </w:r>
      <w:r w:rsidR="008421BC" w:rsidRPr="002C15C0">
        <w:t xml:space="preserve"> redundant system provides the same functionality as the primary system, allowing a seamless transition with no change in procedures</w:t>
      </w:r>
      <w:r w:rsidRPr="002C15C0">
        <w:t>;</w:t>
      </w:r>
    </w:p>
    <w:p w14:paraId="7B240B4A" w14:textId="682E2C1A" w:rsidR="008421BC" w:rsidRPr="002C15C0" w:rsidRDefault="004259EF" w:rsidP="004259EF">
      <w:pPr>
        <w:pStyle w:val="Bullet1"/>
      </w:pPr>
      <w:r w:rsidRPr="002C15C0">
        <w:t>a</w:t>
      </w:r>
      <w:r w:rsidR="008421BC" w:rsidRPr="002C15C0">
        <w:t xml:space="preserve"> backup system ensures continuation of the navigation application, but not necessarily with the full functionality of the primary system and may necessitate some change in procedures by the user</w:t>
      </w:r>
      <w:r w:rsidRPr="002C15C0">
        <w:t>;</w:t>
      </w:r>
    </w:p>
    <w:p w14:paraId="30D2115E" w14:textId="5E0A5DAD" w:rsidR="008421BC" w:rsidRPr="002C15C0" w:rsidRDefault="004259EF" w:rsidP="004259EF">
      <w:pPr>
        <w:pStyle w:val="Bullet1"/>
      </w:pPr>
      <w:r w:rsidRPr="002C15C0">
        <w:t>a</w:t>
      </w:r>
      <w:r w:rsidR="008421BC" w:rsidRPr="002C15C0">
        <w:t xml:space="preserve"> contingency system allows safe completion of a manoeuvre, but may not be adequate for long-term use.</w:t>
      </w:r>
    </w:p>
    <w:p w14:paraId="05F103D1" w14:textId="4E5EC360" w:rsidR="008421BC" w:rsidRPr="002C15C0" w:rsidRDefault="008421BC" w:rsidP="004259EF">
      <w:pPr>
        <w:pStyle w:val="Heading3"/>
      </w:pPr>
      <w:bookmarkStart w:id="19" w:name="_Toc467068143"/>
      <w:r w:rsidRPr="002C15C0">
        <w:t>Redundant System</w:t>
      </w:r>
      <w:bookmarkEnd w:id="19"/>
    </w:p>
    <w:p w14:paraId="0A2C130A" w14:textId="7CA62A61" w:rsidR="008421BC" w:rsidRPr="002C15C0" w:rsidRDefault="008421BC" w:rsidP="008421BC">
      <w:pPr>
        <w:pStyle w:val="BodyText"/>
      </w:pPr>
      <w:r w:rsidRPr="002C15C0">
        <w:t>Fully redundant systems should provide equivalent performance levels in terms of positioning and timing accuracy, integrity, availability and continuity.  GLONASS represents a potential redundant system for GPS, with additional systems such as BEIDOU and Galileo due to be</w:t>
      </w:r>
      <w:r w:rsidR="004259EF" w:rsidRPr="002C15C0">
        <w:t>come fully operational by 2020.</w:t>
      </w:r>
    </w:p>
    <w:p w14:paraId="57E31D41" w14:textId="6B1CCCEE" w:rsidR="008421BC" w:rsidRPr="002C15C0" w:rsidRDefault="008421BC" w:rsidP="008421BC">
      <w:pPr>
        <w:pStyle w:val="BodyText"/>
      </w:pPr>
      <w:r w:rsidRPr="002C15C0">
        <w:t>It must also be noted that such similar systems may also have common failure modes.  For example</w:t>
      </w:r>
      <w:r w:rsidR="004259EF" w:rsidRPr="002C15C0">
        <w:t>,</w:t>
      </w:r>
      <w:r w:rsidRPr="002C15C0">
        <w:t xml:space="preserve"> a jammer or interference source could deny multiple GNSS services, since it is very likely that the two systems will use the same frequency bands.  It is also expected that most receivers will employ both systems; thus</w:t>
      </w:r>
      <w:r w:rsidR="004259EF" w:rsidRPr="002C15C0">
        <w:t>,</w:t>
      </w:r>
      <w:r w:rsidRPr="002C15C0">
        <w:t xml:space="preserve"> an attack on one may affect both.  Counter-measures against jamming and interference are being developed and are likely to be quite effective by the time Galileo and later generations of GPS become operational.</w:t>
      </w:r>
    </w:p>
    <w:p w14:paraId="3EE6306A" w14:textId="6A807025" w:rsidR="008421BC" w:rsidRPr="002C15C0" w:rsidRDefault="008421BC" w:rsidP="004259EF">
      <w:pPr>
        <w:pStyle w:val="Heading3"/>
      </w:pPr>
      <w:bookmarkStart w:id="20" w:name="_Toc467068144"/>
      <w:r w:rsidRPr="002C15C0">
        <w:t>Backup Systems</w:t>
      </w:r>
      <w:bookmarkEnd w:id="20"/>
    </w:p>
    <w:p w14:paraId="1FDC1845" w14:textId="77777777" w:rsidR="008421BC" w:rsidRPr="002C15C0" w:rsidRDefault="008421BC" w:rsidP="008421BC">
      <w:pPr>
        <w:pStyle w:val="BodyText"/>
      </w:pPr>
      <w:r w:rsidRPr="002C15C0">
        <w:t>Backup systems may include existing or planned terrestrial systems such as:</w:t>
      </w:r>
    </w:p>
    <w:p w14:paraId="599BC6A9" w14:textId="5C5B2D7B" w:rsidR="008421BC" w:rsidRPr="002C15C0" w:rsidRDefault="008421BC" w:rsidP="004259EF">
      <w:pPr>
        <w:pStyle w:val="Bullet1"/>
      </w:pPr>
      <w:r w:rsidRPr="002C15C0">
        <w:t>Loran C;</w:t>
      </w:r>
    </w:p>
    <w:p w14:paraId="4821390E" w14:textId="039E0518" w:rsidR="008421BC" w:rsidRPr="002C15C0" w:rsidRDefault="004259EF" w:rsidP="004259EF">
      <w:pPr>
        <w:pStyle w:val="Bullet1"/>
      </w:pPr>
      <w:r w:rsidRPr="002C15C0">
        <w:t>e</w:t>
      </w:r>
      <w:r w:rsidR="008421BC" w:rsidRPr="002C15C0">
        <w:t>nhanced Loran (eLoran);</w:t>
      </w:r>
    </w:p>
    <w:p w14:paraId="3D96AAFF" w14:textId="163062AB" w:rsidR="008421BC" w:rsidRPr="002C15C0" w:rsidRDefault="004259EF" w:rsidP="004259EF">
      <w:pPr>
        <w:pStyle w:val="Bullet1"/>
      </w:pPr>
      <w:r w:rsidRPr="002C15C0">
        <w:t>r</w:t>
      </w:r>
      <w:r w:rsidR="008421BC" w:rsidRPr="002C15C0">
        <w:t>adar and radar aids to navigation;</w:t>
      </w:r>
    </w:p>
    <w:p w14:paraId="582ADB77" w14:textId="6B990E2A" w:rsidR="008421BC" w:rsidRPr="002C15C0" w:rsidRDefault="004259EF" w:rsidP="004259EF">
      <w:pPr>
        <w:pStyle w:val="Bullet1"/>
      </w:pPr>
      <w:r w:rsidRPr="002C15C0">
        <w:t>c</w:t>
      </w:r>
      <w:r w:rsidR="008421BC" w:rsidRPr="002C15C0">
        <w:t>ellular telephone based systems;</w:t>
      </w:r>
    </w:p>
    <w:p w14:paraId="7F325478" w14:textId="3202143E" w:rsidR="008421BC" w:rsidRPr="002C15C0" w:rsidRDefault="004259EF" w:rsidP="004259EF">
      <w:pPr>
        <w:pStyle w:val="Bullet1"/>
      </w:pPr>
      <w:r w:rsidRPr="002C15C0">
        <w:t>r</w:t>
      </w:r>
      <w:r w:rsidR="008421BC" w:rsidRPr="002C15C0">
        <w:t>anging from DGNSS/AIS (R-Mode)</w:t>
      </w:r>
      <w:r w:rsidRPr="002C15C0">
        <w:t>.</w:t>
      </w:r>
      <w:r w:rsidR="003502B2" w:rsidRPr="002C15C0">
        <w:rPr>
          <w:rStyle w:val="FootnoteReference"/>
        </w:rPr>
        <w:footnoteReference w:id="2"/>
      </w:r>
    </w:p>
    <w:p w14:paraId="48DF838B" w14:textId="773759F6" w:rsidR="008421BC" w:rsidRPr="002C15C0" w:rsidRDefault="008421BC" w:rsidP="008421BC">
      <w:pPr>
        <w:pStyle w:val="BodyText"/>
      </w:pPr>
      <w:r w:rsidRPr="002C15C0">
        <w:t>Loran is the only existing candidate as a terrestrial radionavigation alternative and provides a position sentence usable with electronic charting and other onboard systems.  Loran provides independent position, navigation and timing with dissimilar failure modes to GNSS, however the coverage is limited.  For example</w:t>
      </w:r>
      <w:r w:rsidR="004259EF" w:rsidRPr="002C15C0">
        <w:t>,</w:t>
      </w:r>
      <w:r w:rsidRPr="002C15C0">
        <w:t xml:space="preserve"> in European waters it is restricted at present to the north-western part, while in North America the decision was made to switch the service off in 2010.  Loran receivers are not a required fit and very few vessels outside Nor</w:t>
      </w:r>
      <w:r w:rsidR="004259EF" w:rsidRPr="002C15C0">
        <w:t>th American waters carry them.</w:t>
      </w:r>
    </w:p>
    <w:p w14:paraId="41C64064" w14:textId="6E47D714" w:rsidR="008421BC" w:rsidRPr="002C15C0" w:rsidRDefault="008421BC" w:rsidP="008421BC">
      <w:pPr>
        <w:pStyle w:val="BodyText"/>
      </w:pPr>
      <w:r w:rsidRPr="002C15C0">
        <w:t xml:space="preserve">eLoran has demonstrated </w:t>
      </w:r>
      <w:r w:rsidR="000E4A56">
        <w:t xml:space="preserve">comparable accuracy to GNSS </w:t>
      </w:r>
      <w:r w:rsidR="000E4A56">
        <w:fldChar w:fldCharType="begin"/>
      </w:r>
      <w:r w:rsidR="000E4A56">
        <w:instrText xml:space="preserve"> REF _Ref330386909 \r \h </w:instrText>
      </w:r>
      <w:r w:rsidR="000E4A56">
        <w:fldChar w:fldCharType="separate"/>
      </w:r>
      <w:r w:rsidR="000E4A56">
        <w:t>[12]</w:t>
      </w:r>
      <w:r w:rsidR="000E4A56">
        <w:fldChar w:fldCharType="end"/>
      </w:r>
      <w:r w:rsidRPr="002C15C0">
        <w:t xml:space="preserve">.  </w:t>
      </w:r>
      <w:r w:rsidR="004259EF" w:rsidRPr="002C15C0">
        <w:t>T</w:t>
      </w:r>
      <w:r w:rsidRPr="002C15C0">
        <w:t>o make eLoran into an effective redundant or backup system, receivers would need to be carried and there is little motivation for voluntary fitting of backup receiving equipment as long as GNSS continues to work well.</w:t>
      </w:r>
    </w:p>
    <w:p w14:paraId="6DA10E72" w14:textId="77777777" w:rsidR="008421BC" w:rsidRPr="002C15C0" w:rsidRDefault="008421BC" w:rsidP="008421BC">
      <w:pPr>
        <w:pStyle w:val="BodyText"/>
      </w:pPr>
      <w:r w:rsidRPr="002C15C0">
        <w:t>Although receivers for Loran are not a specific carriage requirement, they would be covered by the SOLAS Chapter V requirement for an Electronic Position Fixing System, suitable for the whole voyage, in the case of regional traffic.  The current IEC test specification for the type approval of Loran receivers is based on out of date technology and may need to be revised.</w:t>
      </w:r>
    </w:p>
    <w:p w14:paraId="56B42E9D" w14:textId="77777777" w:rsidR="008421BC" w:rsidRPr="002C15C0" w:rsidRDefault="008421BC" w:rsidP="008421BC">
      <w:pPr>
        <w:pStyle w:val="BodyText"/>
      </w:pPr>
      <w:r w:rsidRPr="002C15C0">
        <w:t xml:space="preserve">Loran also has vulnerabilities to failure of onboard equipment or power supplies, damage to the ground infrastructure, loss of synchronisation due to interruption of communication systems and interference from </w:t>
      </w:r>
      <w:r w:rsidRPr="002C15C0">
        <w:lastRenderedPageBreak/>
        <w:t>ionospheric effects or power lines, which can carry both low frequency alternating current and higher frequency data signals.</w:t>
      </w:r>
    </w:p>
    <w:p w14:paraId="596D18F9" w14:textId="55131991" w:rsidR="008421BC" w:rsidRPr="002C15C0" w:rsidRDefault="008421BC" w:rsidP="008421BC">
      <w:pPr>
        <w:pStyle w:val="BodyText"/>
      </w:pPr>
      <w:r w:rsidRPr="002C15C0">
        <w:t>Radar can be used for position-fixing, but it does not generally provide a compatible input to an electronic charting system; therefore</w:t>
      </w:r>
      <w:r w:rsidR="004259EF" w:rsidRPr="002C15C0">
        <w:t>,</w:t>
      </w:r>
      <w:r w:rsidRPr="002C15C0">
        <w:t xml:space="preserve"> different procedures are necessary for its use.</w:t>
      </w:r>
      <w:r w:rsidR="000E4A56">
        <w:t xml:space="preserve"> </w:t>
      </w:r>
      <w:r w:rsidRPr="002C15C0">
        <w:t xml:space="preserve"> However, radar is a required fit on SOLAS vessels and radar map-matching (echo referencing) techniques are well developed and used in waters such as the archipelagos between Sweden and Finland.  The most serious limitation of radar as a backup is in areas with low-lying, featureless coastlines, for example in Europe those of Northern France, Belgium and the Netherlands or the East coast of England.  </w:t>
      </w:r>
      <w:r w:rsidR="004259EF" w:rsidRPr="002C15C0">
        <w:t>T</w:t>
      </w:r>
      <w:r w:rsidRPr="002C15C0">
        <w:t>o make radar a universal backup, such areas would need to be marked with sufficient radar aids to navigation.</w:t>
      </w:r>
    </w:p>
    <w:p w14:paraId="4963DD6D" w14:textId="4A5E66BE" w:rsidR="008421BC" w:rsidRPr="002C15C0" w:rsidRDefault="008421BC" w:rsidP="008421BC">
      <w:pPr>
        <w:pStyle w:val="BodyText"/>
      </w:pPr>
      <w:r w:rsidRPr="002C15C0">
        <w:t>This would not provide the same level of positioning service as Loran, nor would it give an alternative timing reference.  However, this option could justify further investigation in regions where Loran is not a realistic option.  Radar and radar beacons also have vulnerabilities to failure of equipment or power supplies, multipath, rain and sea clutter and masking effects.</w:t>
      </w:r>
    </w:p>
    <w:p w14:paraId="173277B1" w14:textId="4C24A04F" w:rsidR="008421BC" w:rsidRPr="002C15C0" w:rsidRDefault="008421BC" w:rsidP="008421BC">
      <w:pPr>
        <w:pStyle w:val="BodyText"/>
      </w:pPr>
      <w:r w:rsidRPr="002C15C0">
        <w:t xml:space="preserve">Another possible backup in the future may be positioning using the Universal Mobile Telecommunications System (UMTS).  This is the </w:t>
      </w:r>
      <w:r w:rsidR="004259EF" w:rsidRPr="002C15C0">
        <w:t>third-generation</w:t>
      </w:r>
      <w:r w:rsidRPr="002C15C0">
        <w:t xml:space="preserve"> cellular system and the first networks became operational in 2002.  One of the main features of 3G cellular will be Location Based Services (LBS) in which location of the user will be achieved either by GNSS (vulnerable to the same failure modes as the ship’s GNSS receiver) or by systems that employ the cellular base-stations themselves.  Such systems include cell identification (cell ID) and tri-lateration of signals at multiple base-stations.  Deployment of such networks is likely to start with the more densely populated areas and coverage of coastlines is unlikely to be a priority; however, it may be possible to use multiple base-station techniques as a backup in some areas, such as estuaries.  The use of these systems as a viable alternative has still to be proven; accuracy would not be as high as with GNSS and it is unlikely that such equipment would ever be type-approved for use on SOLAS vessels.  These systems are likely to depend increasingly on GNSS for their timing and synchronisation, therefore they could be affected by any loss of GNSS.  Cellular, radio and television signals could also be used within a Signals Of Opportunity type approach, where signals provided for alternative uses are used for ranging.  While there are advantages of this approach, it is unlikely to achieve the level of service integrity required for navigation applications as the signals are provided for a different purpose and therefore may be altered or cease without notice.</w:t>
      </w:r>
    </w:p>
    <w:p w14:paraId="062673A8" w14:textId="2F60D15D" w:rsidR="008421BC" w:rsidRPr="002C15C0" w:rsidRDefault="008421BC" w:rsidP="008421BC">
      <w:pPr>
        <w:pStyle w:val="BodyText"/>
      </w:pPr>
      <w:r w:rsidRPr="002C15C0">
        <w:t xml:space="preserve">Another possible future backup is the use of ranging signals from existing DGNSS or </w:t>
      </w:r>
      <w:r w:rsidR="000E4A56">
        <w:t xml:space="preserve">AIS infrastructure (R-Mode) </w:t>
      </w:r>
      <w:r w:rsidR="000E4A56">
        <w:fldChar w:fldCharType="begin"/>
      </w:r>
      <w:r w:rsidR="000E4A56">
        <w:instrText xml:space="preserve"> REF _Ref330386925 \r \h </w:instrText>
      </w:r>
      <w:r w:rsidR="000E4A56">
        <w:fldChar w:fldCharType="separate"/>
      </w:r>
      <w:r w:rsidR="000E4A56">
        <w:t>[13]</w:t>
      </w:r>
      <w:r w:rsidR="000E4A56">
        <w:fldChar w:fldCharType="end"/>
      </w:r>
      <w:r w:rsidRPr="002C15C0">
        <w:t xml:space="preserve">.  Both systems have widespread distribution and maritime standards already exist for onboard equipment.  The new functionality of R-Mode is the provision of timing information from shore to ship.  The shipboard radio receiver may then calculate a distance (range) to the transmitter.  Using several such calculations from a number of different transmissions, the shipboard equipment </w:t>
      </w:r>
      <w:r w:rsidR="000E4A56" w:rsidRPr="002C15C0">
        <w:t>can</w:t>
      </w:r>
      <w:r w:rsidRPr="002C15C0">
        <w:t xml:space="preserve"> calculate the ship position.  Coverage, geometry and interference questions would need to be investigated.</w:t>
      </w:r>
    </w:p>
    <w:p w14:paraId="0C2FA9E8" w14:textId="3426D02A" w:rsidR="008421BC" w:rsidRPr="002C15C0" w:rsidRDefault="008421BC" w:rsidP="004259EF">
      <w:pPr>
        <w:pStyle w:val="Heading3"/>
      </w:pPr>
      <w:bookmarkStart w:id="21" w:name="_Toc467068145"/>
      <w:r w:rsidRPr="002C15C0">
        <w:t>Contingency Systems</w:t>
      </w:r>
      <w:bookmarkEnd w:id="21"/>
    </w:p>
    <w:p w14:paraId="1B95F3C3" w14:textId="77777777" w:rsidR="008421BC" w:rsidRPr="002C15C0" w:rsidRDefault="008421BC" w:rsidP="008421BC">
      <w:pPr>
        <w:pStyle w:val="BodyText"/>
      </w:pPr>
      <w:r w:rsidRPr="002C15C0">
        <w:t>The most obvious contingency system, allowing safe completion of a manoeuvre is the system of lights and buoys already provided in most parts of the world.  Visual aids serve two specific functions, hazard-warning and position-fixing.  They are not necessarily deployed in such a way as to allow for continuous navigation, except in the case of channel markers.  Accuracy levels depend on the relative position of the visual aids and the scope of their movement in the case of floating marks, but accuracy could be expected to be considerably below that provided by GNSS.  Visual (and radar) Aids to Navigation provide an essential alternative to GNSS although it is accepted that they are now a secondary means of relative position verification.  They also form an essential safety function in physically marking hazards and in allowing the mariner to develop critical spatial and environmental awareness.  These functions need to be borne in mind when users and service providers are assessing the continuing need for visual aids.  It is considered essential that skills in the use of conventional aids to navigation should be maintained.  Lights and buoys have limited visibility and achieving high levels of reliability represents a significant maintenance burden.  In poor visibility and in the absence of Loran or radar, another system would be needed.</w:t>
      </w:r>
    </w:p>
    <w:p w14:paraId="62B54872" w14:textId="771B8D47" w:rsidR="008421BC" w:rsidRPr="002C15C0" w:rsidRDefault="008421BC" w:rsidP="008421BC">
      <w:pPr>
        <w:pStyle w:val="BodyText"/>
      </w:pPr>
      <w:r w:rsidRPr="002C15C0">
        <w:lastRenderedPageBreak/>
        <w:t>A future contingency system could be the inertial navigation system.  These installations have previously been too expensive for non-military vessels, but lower cost devices with acceptable short-term performance are now becoming available.</w:t>
      </w:r>
      <w:r w:rsidR="004259EF" w:rsidRPr="002C15C0">
        <w:t xml:space="preserve"> </w:t>
      </w:r>
      <w:r w:rsidRPr="002C15C0">
        <w:t xml:space="preserve"> Integrated with a GNSS receiver, an inertial navigation system could provide continuity of service to electronic charts and autopilots, but only for a period limited by the rate of drift.</w:t>
      </w:r>
      <w:r w:rsidR="004259EF" w:rsidRPr="002C15C0">
        <w:t xml:space="preserve"> </w:t>
      </w:r>
      <w:r w:rsidRPr="002C15C0">
        <w:t xml:space="preserve"> It would be very important that the user was made aware of the change of position input from GNSS to an inertial navigation system and the consequent degradation with time in the confidence to be placed in positional accuracy.</w:t>
      </w:r>
    </w:p>
    <w:p w14:paraId="5FA917A0" w14:textId="500CB073" w:rsidR="008421BC" w:rsidRPr="002C15C0" w:rsidRDefault="008421BC" w:rsidP="008421BC">
      <w:pPr>
        <w:pStyle w:val="BodyText"/>
      </w:pPr>
      <w:r w:rsidRPr="002C15C0">
        <w:t>Dead-reckoning is a contingency method of navigation.  It relies on the use of onboard instruments, principally the compass and the log, for estimating speed and course and hence position.</w:t>
      </w:r>
      <w:r w:rsidR="004259EF" w:rsidRPr="002C15C0">
        <w:t xml:space="preserve"> </w:t>
      </w:r>
      <w:r w:rsidRPr="002C15C0">
        <w:t xml:space="preserve"> Accuracy depends on the quality of the last fix and degrades with time at a rate depending on the accuracy of the equipment and the sea and weather conditions.</w:t>
      </w:r>
    </w:p>
    <w:p w14:paraId="74FC49A3" w14:textId="7707E084" w:rsidR="008421BC" w:rsidRPr="002C15C0" w:rsidRDefault="008421BC" w:rsidP="008421BC">
      <w:pPr>
        <w:pStyle w:val="BodyText"/>
      </w:pPr>
      <w:r w:rsidRPr="002C15C0">
        <w:t>Other onboard instruments can contribute to position-fixing, in particular</w:t>
      </w:r>
      <w:r w:rsidR="004259EF" w:rsidRPr="002C15C0">
        <w:t>,</w:t>
      </w:r>
      <w:r w:rsidRPr="002C15C0">
        <w:t xml:space="preserve"> the depth sounder, which is a mandatory fit on SOLAS vessels and very widely carried by non-SOLAS craft.</w:t>
      </w:r>
    </w:p>
    <w:p w14:paraId="0DA1DD5E" w14:textId="77777777" w:rsidR="008421BC" w:rsidRPr="002C15C0" w:rsidRDefault="008421BC" w:rsidP="008421BC">
      <w:pPr>
        <w:pStyle w:val="BodyText"/>
      </w:pPr>
      <w:r w:rsidRPr="002C15C0">
        <w:t>Use of manual intervention would require adequate warnings and the necessary skills and experience.  These skills should include training and experience of overriding the dependency of the primary system from other bridge equipment.</w:t>
      </w:r>
    </w:p>
    <w:p w14:paraId="15B60909" w14:textId="355D84C4" w:rsidR="008421BC" w:rsidRPr="002C15C0" w:rsidRDefault="008421BC" w:rsidP="008421BC">
      <w:pPr>
        <w:pStyle w:val="BodyText"/>
      </w:pPr>
      <w:r w:rsidRPr="002C15C0">
        <w:t>Where electronic systems are used for contingency, the performance requirements will likely fall between the primary and back up requirements, however in the case of inertial systems or dead reckoning, they may only be rel</w:t>
      </w:r>
      <w:r w:rsidR="004259EF" w:rsidRPr="002C15C0">
        <w:t>iable for a short period</w:t>
      </w:r>
      <w:r w:rsidRPr="002C15C0">
        <w:t xml:space="preserve"> due to drift.</w:t>
      </w:r>
    </w:p>
    <w:p w14:paraId="0385665B" w14:textId="5FBB31C3" w:rsidR="008421BC" w:rsidRPr="002C15C0" w:rsidRDefault="008421BC" w:rsidP="008421BC">
      <w:pPr>
        <w:pStyle w:val="BodyText"/>
      </w:pPr>
      <w:r w:rsidRPr="002C15C0">
        <w:t>The duration that a contingency system remains adequate for use will depend on</w:t>
      </w:r>
      <w:r w:rsidR="004259EF" w:rsidRPr="002C15C0">
        <w:t xml:space="preserve"> the</w:t>
      </w:r>
      <w:r w:rsidRPr="002C15C0">
        <w:t>:</w:t>
      </w:r>
    </w:p>
    <w:p w14:paraId="2FB45A7F" w14:textId="2B70E886" w:rsidR="008421BC" w:rsidRPr="002C15C0" w:rsidRDefault="008421BC" w:rsidP="004259EF">
      <w:pPr>
        <w:pStyle w:val="Bullet1"/>
      </w:pPr>
      <w:r w:rsidRPr="002C15C0">
        <w:t>navigation application being performed;</w:t>
      </w:r>
    </w:p>
    <w:p w14:paraId="35007EC6" w14:textId="259518A0" w:rsidR="008421BC" w:rsidRPr="002C15C0" w:rsidRDefault="008421BC" w:rsidP="004259EF">
      <w:pPr>
        <w:pStyle w:val="Bullet1"/>
      </w:pPr>
      <w:r w:rsidRPr="002C15C0">
        <w:t>weather conditions;</w:t>
      </w:r>
    </w:p>
    <w:p w14:paraId="6F0C3417" w14:textId="63DE7196" w:rsidR="008421BC" w:rsidRPr="002C15C0" w:rsidRDefault="008421BC" w:rsidP="004259EF">
      <w:pPr>
        <w:pStyle w:val="Bullet1"/>
      </w:pPr>
      <w:r w:rsidRPr="002C15C0">
        <w:t>risk of collision or grounding (based on traffic situation and location restrictions);</w:t>
      </w:r>
    </w:p>
    <w:p w14:paraId="42373F1B" w14:textId="67B881EC" w:rsidR="008421BC" w:rsidRPr="002C15C0" w:rsidRDefault="008421BC" w:rsidP="004259EF">
      <w:pPr>
        <w:pStyle w:val="Bullet1"/>
      </w:pPr>
      <w:r w:rsidRPr="002C15C0">
        <w:t>equipment fit of the vessel.</w:t>
      </w:r>
    </w:p>
    <w:p w14:paraId="5C7CC640" w14:textId="2C5D334C" w:rsidR="008421BC" w:rsidRPr="002C15C0" w:rsidRDefault="008421BC" w:rsidP="004259EF">
      <w:pPr>
        <w:pStyle w:val="Heading3"/>
      </w:pPr>
      <w:bookmarkStart w:id="22" w:name="_Toc467068146"/>
      <w:r w:rsidRPr="002C15C0">
        <w:t>Dependent Systems</w:t>
      </w:r>
      <w:bookmarkEnd w:id="22"/>
    </w:p>
    <w:p w14:paraId="39CE5E1E" w14:textId="408F644F" w:rsidR="008421BC" w:rsidRPr="002C15C0" w:rsidRDefault="008421BC" w:rsidP="008421BC">
      <w:pPr>
        <w:pStyle w:val="BodyText"/>
      </w:pPr>
      <w:r w:rsidRPr="002C15C0">
        <w:t xml:space="preserve">In addition to providing the primary navigation data, the GNSS on a modern bridge supplies position, navigation and timing inputs to other systems, including AIS, ECDIS and GMDSS. Loss of GNSS would render AIS unusable for positioning, however it should not make an ECDIS unusable, as it should be possible to input visual or radar bearings.  Manual input of position would be needed for GMDSS.  Contingency systems would be of no use in this case – only a similar satellite navigation system such as Galileo or a compatible backup system such as Loran could provide a direct position input.  This will become an increasing problem as reliance on these systems grows.  AIS is being seen as an aid to security in addition to safety and in that </w:t>
      </w:r>
      <w:r w:rsidR="000E4A56" w:rsidRPr="002C15C0">
        <w:t>role,</w:t>
      </w:r>
      <w:r w:rsidRPr="002C15C0">
        <w:t xml:space="preserve"> the incentive to jam the system providing the position input may become much greater.</w:t>
      </w:r>
    </w:p>
    <w:p w14:paraId="3CFD68B6" w14:textId="77777777" w:rsidR="008421BC" w:rsidRPr="002C15C0" w:rsidRDefault="008421BC" w:rsidP="008421BC">
      <w:pPr>
        <w:pStyle w:val="BodyText"/>
      </w:pPr>
      <w:r w:rsidRPr="002C15C0">
        <w:t>GNSS vulnerabilities also extend to AtoN provision with regard to DGNSS, VTS and GNSS-synchronised lights.  Additionally, the implementation of e-Navigation is expected to result in an increased reliance on timing-dependent communications systems based on GNSS.</w:t>
      </w:r>
    </w:p>
    <w:p w14:paraId="60A6D05A" w14:textId="0E85A80E" w:rsidR="008421BC" w:rsidRPr="002C15C0" w:rsidRDefault="008421BC" w:rsidP="004259EF">
      <w:pPr>
        <w:pStyle w:val="Heading3"/>
      </w:pPr>
      <w:bookmarkStart w:id="23" w:name="_Toc467068147"/>
      <w:r w:rsidRPr="002C15C0">
        <w:t>Integrity Systems</w:t>
      </w:r>
      <w:bookmarkEnd w:id="23"/>
    </w:p>
    <w:p w14:paraId="7A93FC69" w14:textId="4494EB79" w:rsidR="008421BC" w:rsidRPr="002C15C0" w:rsidRDefault="000E4A56" w:rsidP="008421BC">
      <w:pPr>
        <w:pStyle w:val="BodyText"/>
      </w:pPr>
      <w:r w:rsidRPr="002C15C0">
        <w:t>Several</w:t>
      </w:r>
      <w:r w:rsidR="008421BC" w:rsidRPr="002C15C0">
        <w:t xml:space="preserve"> systems are provided to monitor the integrity of GNSS, for example the IALA beacon Differential GNSS service, which is standardised for maritime use.  Satellite Based Augmentation Systems, such as WAAS and EGNOS, carry integrity messages and enhanced forms of Loran such as Eurofix also perform this function, but these are not internationally approved for maritime use.  Navigational warning systems, such as Navtex and Safetynet can also provide integrity warnings, but there may be delays in delivering such warnings by these methods.  It should be noted that augmentation systems are dependent on GNSS for position indication and are not standalone services.  They are therefore subject to interference, jamming and spoofing of GNSS, but may be able to provide a warning of malfunction.  Modern GNSS receivers incorporate Receiver Autonomous Integrity Monitoring (RAIM), which may be able to provide a warning of malfunction.</w:t>
      </w:r>
    </w:p>
    <w:p w14:paraId="1A4741AE" w14:textId="77777777" w:rsidR="008421BC" w:rsidRPr="002C15C0" w:rsidRDefault="008421BC" w:rsidP="008421BC">
      <w:pPr>
        <w:pStyle w:val="BodyText"/>
      </w:pPr>
      <w:r w:rsidRPr="002C15C0">
        <w:lastRenderedPageBreak/>
        <w:t>It may be feasible to utilise AIS to monitor GNSS anomalies by analysing position reports and comparing with previous reports and/or other data sources such as VTS.</w:t>
      </w:r>
    </w:p>
    <w:p w14:paraId="3AAF7BAA" w14:textId="388CD277" w:rsidR="008421BC" w:rsidRPr="002C15C0" w:rsidRDefault="008421BC" w:rsidP="00670ACB">
      <w:pPr>
        <w:pStyle w:val="Heading1"/>
      </w:pPr>
      <w:bookmarkStart w:id="24" w:name="_Toc467068148"/>
      <w:r w:rsidRPr="002C15C0">
        <w:t>ACTION PLAN</w:t>
      </w:r>
      <w:bookmarkEnd w:id="24"/>
    </w:p>
    <w:p w14:paraId="2C3553AB" w14:textId="77777777" w:rsidR="00670ACB" w:rsidRPr="002C15C0" w:rsidRDefault="00670ACB" w:rsidP="00670ACB">
      <w:pPr>
        <w:pStyle w:val="Heading1separatationline"/>
      </w:pPr>
    </w:p>
    <w:p w14:paraId="7927FF39" w14:textId="77777777" w:rsidR="008421BC" w:rsidRPr="002C15C0" w:rsidRDefault="008421BC" w:rsidP="008421BC">
      <w:pPr>
        <w:pStyle w:val="BodyText"/>
      </w:pPr>
      <w:r w:rsidRPr="002C15C0">
        <w:t xml:space="preserve">To respond to these concerns, </w:t>
      </w:r>
      <w:commentRangeStart w:id="25"/>
      <w:r w:rsidRPr="002C15C0">
        <w:t>an action plan</w:t>
      </w:r>
      <w:commentRangeEnd w:id="25"/>
      <w:r w:rsidR="000E4A56">
        <w:rPr>
          <w:rStyle w:val="CommentReference"/>
        </w:rPr>
        <w:commentReference w:id="25"/>
      </w:r>
      <w:r w:rsidRPr="002C15C0">
        <w:t xml:space="preserve"> </w:t>
      </w:r>
      <w:r w:rsidRPr="000E4A56">
        <w:t>is provided</w:t>
      </w:r>
      <w:r w:rsidRPr="002C15C0">
        <w:t xml:space="preserve"> that includes carrying out a Risk Assessment to identify requirements for a back-up navigational system and the user receiver architecture that would need to be provided.</w:t>
      </w:r>
    </w:p>
    <w:p w14:paraId="0E771F14" w14:textId="14D78FA5" w:rsidR="008421BC" w:rsidRPr="002C15C0" w:rsidRDefault="008421BC" w:rsidP="00670ACB">
      <w:pPr>
        <w:pStyle w:val="Heading2"/>
      </w:pPr>
      <w:bookmarkStart w:id="26" w:name="_Toc467068149"/>
      <w:r w:rsidRPr="002C15C0">
        <w:t>Risk Assessment</w:t>
      </w:r>
      <w:bookmarkEnd w:id="26"/>
    </w:p>
    <w:p w14:paraId="2CAE70F1" w14:textId="77777777" w:rsidR="00670ACB" w:rsidRPr="002C15C0" w:rsidRDefault="00670ACB" w:rsidP="00670ACB">
      <w:pPr>
        <w:pStyle w:val="Heading2separationline"/>
      </w:pPr>
    </w:p>
    <w:p w14:paraId="0AEFEF00" w14:textId="43E423FB" w:rsidR="008421BC" w:rsidRPr="002C15C0" w:rsidRDefault="008421BC" w:rsidP="008421BC">
      <w:pPr>
        <w:pStyle w:val="BodyText"/>
      </w:pPr>
      <w:r w:rsidRPr="002C15C0">
        <w:t xml:space="preserve">Aids to Navigation </w:t>
      </w:r>
      <w:r w:rsidR="00670ACB" w:rsidRPr="002C15C0">
        <w:t xml:space="preserve">(AtoN) </w:t>
      </w:r>
      <w:r w:rsidRPr="002C15C0">
        <w:t>authorities should conduct an assessment of risks to traffic within areas of interest.  The type and l</w:t>
      </w:r>
      <w:r w:rsidR="00670ACB" w:rsidRPr="002C15C0">
        <w:t>evel of AtoN</w:t>
      </w:r>
      <w:r w:rsidRPr="002C15C0">
        <w:t xml:space="preserve"> systems required should be determined by the levels of risk and dependence on GNSS.  Whatever systems or procedures are deployed must be looked at in terms of the various stages of a voyage i.e. Ocean, Coastal, Port approach and restricted waters, Port, Inland Waterways.  For example</w:t>
      </w:r>
      <w:r w:rsidR="00670ACB" w:rsidRPr="002C15C0">
        <w:t>,</w:t>
      </w:r>
      <w:r w:rsidRPr="002C15C0">
        <w:t xml:space="preserve"> in the middle of the Pacific Ocean a suitable alternative could consist of celestial navigation, dead reckoning and estimating position.  The alternative system required in critical areas such as the Dover Straits or Straits of Malacca needs to be significantly more robust as many vessels may be using integrated navigation systems in close proximity.</w:t>
      </w:r>
    </w:p>
    <w:p w14:paraId="31B09756" w14:textId="77777777" w:rsidR="008421BC" w:rsidRPr="002C15C0" w:rsidRDefault="008421BC" w:rsidP="008421BC">
      <w:pPr>
        <w:pStyle w:val="BodyText"/>
      </w:pPr>
      <w:r w:rsidRPr="002C15C0">
        <w:t>In evaluating the need for an alternative system, the transition from GNSS to alternative systems must also be considered from a practical and watchkeeping point of view.  Visual AtoN provide a ‘reality check’, however integrating position verification into existing electronic systems is not always straightforward and will inevitably rely on good continuation training and situational awareness by mariners.</w:t>
      </w:r>
    </w:p>
    <w:p w14:paraId="5EAA8AE4" w14:textId="77777777" w:rsidR="008421BC" w:rsidRPr="002C15C0" w:rsidRDefault="008421BC" w:rsidP="008421BC">
      <w:pPr>
        <w:pStyle w:val="BodyText"/>
      </w:pPr>
      <w:r w:rsidRPr="002C15C0">
        <w:t>It must be recognised that a loss of operational capabilities currently available with GNSS is acceptable providing the safety of the vessel is not compromised.</w:t>
      </w:r>
    </w:p>
    <w:p w14:paraId="4F9F4610" w14:textId="224537FD" w:rsidR="008421BC" w:rsidRPr="002C15C0" w:rsidRDefault="008421BC" w:rsidP="00670ACB">
      <w:pPr>
        <w:pStyle w:val="Heading2"/>
      </w:pPr>
      <w:bookmarkStart w:id="27" w:name="_Toc467068150"/>
      <w:r w:rsidRPr="002C15C0">
        <w:t>Requirements for a Backup Navigation System</w:t>
      </w:r>
      <w:bookmarkEnd w:id="27"/>
    </w:p>
    <w:p w14:paraId="5481BCA6" w14:textId="77777777" w:rsidR="00670ACB" w:rsidRPr="002C15C0" w:rsidRDefault="00670ACB" w:rsidP="00670ACB">
      <w:pPr>
        <w:pStyle w:val="Heading2separationline"/>
      </w:pPr>
    </w:p>
    <w:p w14:paraId="2C4FA99B" w14:textId="0965C60E" w:rsidR="008421BC" w:rsidRPr="002C15C0" w:rsidRDefault="008421BC" w:rsidP="008421BC">
      <w:pPr>
        <w:pStyle w:val="BodyText"/>
      </w:pPr>
      <w:r w:rsidRPr="002C15C0">
        <w:t xml:space="preserve">Where the risk assessment concludes that a backup system (i.e. a system ensuring continued operation, but not necessarily with the full functionality of the primary system) is necessary, suggested minimum maritime user requirements (derived from IMO Resolution A.915(22)) for such a system are listed at </w:t>
      </w:r>
      <w:r w:rsidR="00CA3042" w:rsidRPr="002C15C0">
        <w:rPr>
          <w:highlight w:val="yellow"/>
        </w:rPr>
        <w:fldChar w:fldCharType="begin"/>
      </w:r>
      <w:r w:rsidR="00CA3042" w:rsidRPr="002C15C0">
        <w:instrText xml:space="preserve"> REF _Ref467063299 \r \h </w:instrText>
      </w:r>
      <w:r w:rsidR="00CA3042" w:rsidRPr="002C15C0">
        <w:rPr>
          <w:highlight w:val="yellow"/>
        </w:rPr>
      </w:r>
      <w:r w:rsidR="00CA3042" w:rsidRPr="002C15C0">
        <w:rPr>
          <w:highlight w:val="yellow"/>
        </w:rPr>
        <w:fldChar w:fldCharType="separate"/>
      </w:r>
      <w:r w:rsidR="00CA3042" w:rsidRPr="002C15C0">
        <w:t>ANNEX A</w:t>
      </w:r>
      <w:r w:rsidR="00CA3042" w:rsidRPr="002C15C0">
        <w:rPr>
          <w:highlight w:val="yellow"/>
        </w:rPr>
        <w:fldChar w:fldCharType="end"/>
      </w:r>
      <w:r w:rsidRPr="002C15C0">
        <w:t>.  It may however be impractical to expect backup systems to achieve some of these standards, such as global coverage in the ocean phase of navigation or metre level accuracy in the port phase.  In these cases</w:t>
      </w:r>
      <w:r w:rsidR="00670ACB" w:rsidRPr="002C15C0">
        <w:t>,</w:t>
      </w:r>
      <w:r w:rsidRPr="002C15C0">
        <w:t xml:space="preserve"> it might be necessary to navigate the ocean phase by dead-reckoning, or delay port manoeuvres until the primary navigation system is restored.  The argument for a backup system may be dependent on the perceived threat to the primary system and the likely duration of primary system outages.</w:t>
      </w:r>
    </w:p>
    <w:p w14:paraId="072A7854" w14:textId="102F210C" w:rsidR="008421BC" w:rsidRPr="002C15C0" w:rsidRDefault="008421BC" w:rsidP="00670ACB">
      <w:pPr>
        <w:pStyle w:val="Heading2"/>
      </w:pPr>
      <w:bookmarkStart w:id="28" w:name="_Toc467068151"/>
      <w:r w:rsidRPr="002C15C0">
        <w:t>GNSS Integrity Warning System</w:t>
      </w:r>
      <w:bookmarkEnd w:id="28"/>
    </w:p>
    <w:p w14:paraId="7B137CAF" w14:textId="77777777" w:rsidR="00670ACB" w:rsidRPr="002C15C0" w:rsidRDefault="00670ACB" w:rsidP="00670ACB">
      <w:pPr>
        <w:pStyle w:val="Heading2separationline"/>
      </w:pPr>
    </w:p>
    <w:p w14:paraId="0356D9E7" w14:textId="77777777" w:rsidR="008421BC" w:rsidRPr="002C15C0" w:rsidRDefault="008421BC" w:rsidP="008421BC">
      <w:pPr>
        <w:pStyle w:val="BodyText"/>
      </w:pPr>
      <w:r w:rsidRPr="002C15C0">
        <w:t>Services providers should consider the use of integrity information when conducting their risk assessment.  Integrity information can be provided through different means.</w:t>
      </w:r>
    </w:p>
    <w:p w14:paraId="35F22CEA" w14:textId="77777777" w:rsidR="008421BC" w:rsidRPr="002C15C0" w:rsidRDefault="008421BC" w:rsidP="008421BC">
      <w:pPr>
        <w:pStyle w:val="BodyText"/>
      </w:pPr>
      <w:r w:rsidRPr="002C15C0">
        <w:t xml:space="preserve">A GNSS failure may be of such a nature that it is instantly perceived by the navigator. However, onboard systems like an Integrated Navigation System or using RAIM, GBAS, or SBAS can provide integrity warnings. </w:t>
      </w:r>
    </w:p>
    <w:p w14:paraId="26B1D71D" w14:textId="36D6E89D" w:rsidR="008421BC" w:rsidRPr="002C15C0" w:rsidRDefault="008421BC" w:rsidP="008421BC">
      <w:pPr>
        <w:pStyle w:val="BodyText"/>
      </w:pPr>
      <w:r w:rsidRPr="002C15C0">
        <w:t xml:space="preserve">Service providers who operate IALA-DGPS infrastructure already provide integrity to the mariner.  IALA and other relevant organizations have maintained appropriate </w:t>
      </w:r>
      <w:r w:rsidR="000E4A56">
        <w:t xml:space="preserve">recommendations for the system </w:t>
      </w:r>
      <w:r w:rsidR="000E4A56">
        <w:fldChar w:fldCharType="begin"/>
      </w:r>
      <w:r w:rsidR="000E4A56">
        <w:instrText xml:space="preserve"> REF _Ref336501266 \r \h </w:instrText>
      </w:r>
      <w:r w:rsidR="000E4A56">
        <w:fldChar w:fldCharType="separate"/>
      </w:r>
      <w:r w:rsidR="000E4A56">
        <w:t>[14]</w:t>
      </w:r>
      <w:r w:rsidR="000E4A56">
        <w:fldChar w:fldCharType="end"/>
      </w:r>
      <w:r w:rsidRPr="002C15C0">
        <w:t>.</w:t>
      </w:r>
    </w:p>
    <w:p w14:paraId="0F963FAA" w14:textId="35A32FAC" w:rsidR="008421BC" w:rsidRPr="002C15C0" w:rsidRDefault="008421BC" w:rsidP="00670ACB">
      <w:pPr>
        <w:pStyle w:val="Heading2"/>
      </w:pPr>
      <w:bookmarkStart w:id="29" w:name="_Toc467068152"/>
      <w:r w:rsidRPr="002C15C0">
        <w:t>User Receiver Architecture</w:t>
      </w:r>
      <w:bookmarkEnd w:id="29"/>
    </w:p>
    <w:p w14:paraId="5068BB1E" w14:textId="77777777" w:rsidR="00670ACB" w:rsidRPr="002C15C0" w:rsidRDefault="00670ACB" w:rsidP="00670ACB">
      <w:pPr>
        <w:pStyle w:val="Heading2separationline"/>
      </w:pPr>
    </w:p>
    <w:p w14:paraId="12152537" w14:textId="1AEBE70E" w:rsidR="008421BC" w:rsidRPr="002C15C0" w:rsidRDefault="008421BC" w:rsidP="008421BC">
      <w:pPr>
        <w:pStyle w:val="BodyText"/>
      </w:pPr>
      <w:r w:rsidRPr="002C15C0">
        <w:t xml:space="preserve">It is </w:t>
      </w:r>
      <w:r w:rsidR="00A4371F">
        <w:t>recognised</w:t>
      </w:r>
      <w:r w:rsidRPr="002C15C0">
        <w:t xml:space="preserve"> that appropriate backup system user equipment would probably exist in a multi-modal form with a common output terminal (an integrated receiver).  Such equipment has advantages with respect to monitoring the primary navigation system for interference, and using the last reliable primary data received as an initial position source for the backup receiver.</w:t>
      </w:r>
    </w:p>
    <w:p w14:paraId="50417B42" w14:textId="77777777" w:rsidR="008421BC" w:rsidRPr="002C15C0" w:rsidRDefault="008421BC" w:rsidP="008421BC">
      <w:pPr>
        <w:pStyle w:val="BodyText"/>
      </w:pPr>
      <w:r w:rsidRPr="002C15C0">
        <w:lastRenderedPageBreak/>
        <w:t>As with existing primary navigation systems, it is considered essential that the user is notified of the status of both primary and backup navigation systems by means of obvious visual and audio alarms and messages.</w:t>
      </w:r>
    </w:p>
    <w:p w14:paraId="7B22695E" w14:textId="77777777" w:rsidR="008421BC" w:rsidRPr="002C15C0" w:rsidRDefault="008421BC" w:rsidP="008421BC">
      <w:pPr>
        <w:pStyle w:val="BodyText"/>
      </w:pPr>
      <w:r w:rsidRPr="002C15C0">
        <w:t>The output of a backup navigation system should be in a recognised electronic format (i.e. IEC 61162) for input into electronic chart displays and GMDSS.</w:t>
      </w:r>
    </w:p>
    <w:p w14:paraId="7231258B" w14:textId="7AF5A4AB" w:rsidR="008421BC" w:rsidRPr="002C15C0" w:rsidRDefault="008421BC" w:rsidP="00670ACB">
      <w:pPr>
        <w:pStyle w:val="Heading1"/>
      </w:pPr>
      <w:bookmarkStart w:id="30" w:name="_Toc467068153"/>
      <w:r w:rsidRPr="002C15C0">
        <w:t>CONCLUSIONS</w:t>
      </w:r>
      <w:bookmarkEnd w:id="30"/>
    </w:p>
    <w:p w14:paraId="3CBB294F" w14:textId="77777777" w:rsidR="00670ACB" w:rsidRPr="002C15C0" w:rsidRDefault="00670ACB" w:rsidP="00670ACB">
      <w:pPr>
        <w:pStyle w:val="Heading1separatationline"/>
      </w:pPr>
    </w:p>
    <w:p w14:paraId="627A4300" w14:textId="77777777" w:rsidR="008421BC" w:rsidRPr="002C15C0" w:rsidRDefault="008421BC" w:rsidP="008421BC">
      <w:pPr>
        <w:pStyle w:val="BodyText"/>
      </w:pPr>
      <w:r w:rsidRPr="002C15C0">
        <w:t>The following conclusions were identified through studies carried out on GNSS Vulnerability:</w:t>
      </w:r>
    </w:p>
    <w:p w14:paraId="07693A6F" w14:textId="732C98D5" w:rsidR="008421BC" w:rsidRPr="002C15C0" w:rsidRDefault="008421BC" w:rsidP="00670ACB">
      <w:pPr>
        <w:pStyle w:val="List1"/>
      </w:pPr>
      <w:r w:rsidRPr="002C15C0">
        <w:t>A thorough risk analysis is needed to determine the probability of loss or degradation of GNSS and the likely duration and area affected.</w:t>
      </w:r>
    </w:p>
    <w:p w14:paraId="6AF36939" w14:textId="10F01B1E" w:rsidR="008421BC" w:rsidRPr="002C15C0" w:rsidRDefault="008421BC" w:rsidP="00670ACB">
      <w:pPr>
        <w:pStyle w:val="List1"/>
      </w:pPr>
      <w:r w:rsidRPr="002C15C0">
        <w:t>Greater reliance on GNSS will increase the consequences of its loss or degradation.</w:t>
      </w:r>
    </w:p>
    <w:p w14:paraId="171892B1" w14:textId="664D0B90" w:rsidR="008421BC" w:rsidRPr="002C15C0" w:rsidRDefault="008421BC" w:rsidP="00670ACB">
      <w:pPr>
        <w:pStyle w:val="List1"/>
      </w:pPr>
      <w:r w:rsidRPr="002C15C0">
        <w:t>Current developments in GNSS are expected to provide a fully redundant PNT system.</w:t>
      </w:r>
    </w:p>
    <w:p w14:paraId="24C041D5" w14:textId="34C17FF6" w:rsidR="008421BC" w:rsidRPr="002C15C0" w:rsidRDefault="008421BC" w:rsidP="00670ACB">
      <w:pPr>
        <w:pStyle w:val="List1"/>
      </w:pPr>
      <w:r w:rsidRPr="002C15C0">
        <w:t>Future GNSS are expected to have similar vulnerabilities as currently identified for GPS.</w:t>
      </w:r>
    </w:p>
    <w:p w14:paraId="7EAA3E53" w14:textId="7E56C260" w:rsidR="008421BC" w:rsidRPr="002C15C0" w:rsidRDefault="008421BC" w:rsidP="00670ACB">
      <w:pPr>
        <w:pStyle w:val="List1"/>
      </w:pPr>
      <w:r w:rsidRPr="002C15C0">
        <w:t>Vulnerability of future GNSS will be reduced by additional signals and higher transmitter powers.</w:t>
      </w:r>
    </w:p>
    <w:p w14:paraId="6425EDF6" w14:textId="616BDE0D" w:rsidR="008421BC" w:rsidRPr="002C15C0" w:rsidRDefault="008421BC" w:rsidP="00670ACB">
      <w:pPr>
        <w:pStyle w:val="List1"/>
      </w:pPr>
      <w:r w:rsidRPr="002C15C0">
        <w:t>eLoran could provide an effective backup, but has its own vulnerabilities and coverage and equipment carriage is limited.</w:t>
      </w:r>
    </w:p>
    <w:p w14:paraId="1E26E14B" w14:textId="02327843" w:rsidR="008421BC" w:rsidRPr="002C15C0" w:rsidRDefault="008421BC" w:rsidP="00670ACB">
      <w:pPr>
        <w:pStyle w:val="List1"/>
      </w:pPr>
      <w:r w:rsidRPr="002C15C0">
        <w:t>Radar can provide a limited backup to GNSS, but does not meet all the PNT requirements.</w:t>
      </w:r>
    </w:p>
    <w:p w14:paraId="549DB570" w14:textId="653C4627" w:rsidR="008421BC" w:rsidRPr="002C15C0" w:rsidRDefault="008421BC" w:rsidP="00670ACB">
      <w:pPr>
        <w:pStyle w:val="List1"/>
      </w:pPr>
      <w:r w:rsidRPr="002C15C0">
        <w:t>Low-cost inertial systems may provide an onboard backup system in the future.</w:t>
      </w:r>
    </w:p>
    <w:p w14:paraId="4146768F" w14:textId="545C3FA1" w:rsidR="008421BC" w:rsidRPr="002C15C0" w:rsidRDefault="008421BC" w:rsidP="00670ACB">
      <w:pPr>
        <w:pStyle w:val="List1"/>
      </w:pPr>
      <w:r w:rsidRPr="002C15C0">
        <w:t>Ranging mode (R-mode) implemented within DGNSS and/or AIS may provide a backup system in the future.</w:t>
      </w:r>
    </w:p>
    <w:p w14:paraId="473F22DE" w14:textId="7201DED3" w:rsidR="008421BC" w:rsidRPr="002C15C0" w:rsidRDefault="008421BC" w:rsidP="00670ACB">
      <w:pPr>
        <w:pStyle w:val="List1"/>
      </w:pPr>
      <w:r w:rsidRPr="002C15C0">
        <w:t>Visual and other AtoN, including VTS, are essential to complement GNSS for marine users.</w:t>
      </w:r>
    </w:p>
    <w:p w14:paraId="5C296D19" w14:textId="4CCE2E9A" w:rsidR="008421BC" w:rsidRPr="002C15C0" w:rsidRDefault="008421BC" w:rsidP="00670ACB">
      <w:pPr>
        <w:pStyle w:val="List1"/>
      </w:pPr>
      <w:r w:rsidRPr="002C15C0">
        <w:t>In poor visibility radar and dead-reckoning are the present alternatives, both have limitations.</w:t>
      </w:r>
    </w:p>
    <w:p w14:paraId="1AE2A8B4" w14:textId="1DEB8971" w:rsidR="008421BC" w:rsidRPr="002C15C0" w:rsidRDefault="008421BC" w:rsidP="008421BC">
      <w:pPr>
        <w:pStyle w:val="List1"/>
      </w:pPr>
      <w:r w:rsidRPr="002C15C0">
        <w:t xml:space="preserve">Taking account of the results of the risk assessment noted in </w:t>
      </w:r>
      <w:r w:rsidR="00AC53AE">
        <w:fldChar w:fldCharType="begin"/>
      </w:r>
      <w:r w:rsidR="00AC53AE">
        <w:instrText xml:space="preserve"> REF _Ref330386698 \r \h </w:instrText>
      </w:r>
      <w:r w:rsidR="00AC53AE">
        <w:fldChar w:fldCharType="separate"/>
      </w:r>
      <w:r w:rsidR="00AC53AE">
        <w:t>[1]</w:t>
      </w:r>
      <w:r w:rsidR="00AC53AE">
        <w:fldChar w:fldCharType="end"/>
      </w:r>
      <w:r w:rsidRPr="002C15C0">
        <w:t xml:space="preserve"> an effective, compatible backup to GNSS may be needed to support dependent systems (AIS, ECDIS).</w:t>
      </w:r>
    </w:p>
    <w:p w14:paraId="47F09EFE" w14:textId="1207B9C3" w:rsidR="00E069B6" w:rsidRPr="002C15C0" w:rsidRDefault="00E069B6" w:rsidP="008421BC">
      <w:pPr>
        <w:pStyle w:val="Heading1"/>
      </w:pPr>
      <w:bookmarkStart w:id="31" w:name="_Toc467068154"/>
      <w:r w:rsidRPr="002C15C0">
        <w:t>DEFINITIONS</w:t>
      </w:r>
      <w:bookmarkEnd w:id="5"/>
      <w:bookmarkEnd w:id="31"/>
    </w:p>
    <w:p w14:paraId="7510471F" w14:textId="77777777" w:rsidR="00E069B6" w:rsidRPr="002C15C0" w:rsidRDefault="00E069B6" w:rsidP="00E069B6">
      <w:pPr>
        <w:pStyle w:val="Heading1separatationline"/>
      </w:pPr>
    </w:p>
    <w:p w14:paraId="0C855532" w14:textId="77777777" w:rsidR="006744D8" w:rsidRPr="002C15C0" w:rsidRDefault="00B3400D" w:rsidP="00E069B6">
      <w:pPr>
        <w:pStyle w:val="BodyText"/>
      </w:pPr>
      <w:r w:rsidRPr="002C15C0">
        <w:rPr>
          <w:i/>
          <w:highlight w:val="yellow"/>
        </w:rPr>
        <w:t>Suggested text:</w:t>
      </w:r>
      <w:r w:rsidRPr="002C15C0">
        <w:t xml:space="preserve"> </w:t>
      </w:r>
      <w:r w:rsidR="005E6B4B" w:rsidRPr="002C15C0">
        <w:t xml:space="preserve">The definitions of terms used in this </w:t>
      </w:r>
      <w:r w:rsidRPr="002C15C0">
        <w:t>IALA Guideline</w:t>
      </w:r>
      <w:r w:rsidR="005E6B4B" w:rsidRPr="002C15C0">
        <w:t xml:space="preserve"> can be found in the International Dictionary of Marine Aids to Navigation (IALA Dictionary) at </w:t>
      </w:r>
      <w:hyperlink r:id="rId20" w:history="1">
        <w:r w:rsidR="005E6B4B" w:rsidRPr="002C15C0">
          <w:rPr>
            <w:rStyle w:val="Hyperlink"/>
          </w:rPr>
          <w:t>http://www.iala-aism.org/wiki/dictionary</w:t>
        </w:r>
      </w:hyperlink>
      <w:r w:rsidR="005E6B4B" w:rsidRPr="002C15C0">
        <w:t xml:space="preserve"> and were checked as correct at the time of going to print.  Where conflict arises, the IALA Dictionary should be considered as the authoritative source of definitions used in IALA documents.</w:t>
      </w:r>
    </w:p>
    <w:p w14:paraId="7222060D" w14:textId="77777777" w:rsidR="00E069B6" w:rsidRPr="002C15C0" w:rsidRDefault="00E069B6" w:rsidP="00E069B6">
      <w:pPr>
        <w:pStyle w:val="Heading1"/>
      </w:pPr>
      <w:bookmarkStart w:id="32" w:name="_Toc467068155"/>
      <w:r w:rsidRPr="002C15C0">
        <w:t>ACRONYMS</w:t>
      </w:r>
      <w:bookmarkEnd w:id="32"/>
    </w:p>
    <w:p w14:paraId="1E4F04FB" w14:textId="77777777" w:rsidR="00E069B6" w:rsidRPr="002C15C0" w:rsidRDefault="00E069B6" w:rsidP="00E069B6">
      <w:pPr>
        <w:pStyle w:val="Heading1separatationline"/>
      </w:pPr>
    </w:p>
    <w:p w14:paraId="3C1D72D6" w14:textId="59C2E760" w:rsidR="00D25A8D" w:rsidRPr="002C15C0" w:rsidRDefault="00D25A8D" w:rsidP="008421BC">
      <w:pPr>
        <w:pStyle w:val="Acronym"/>
      </w:pPr>
      <w:r w:rsidRPr="002C15C0">
        <w:t>AIS</w:t>
      </w:r>
      <w:r w:rsidRPr="002C15C0">
        <w:tab/>
      </w:r>
      <w:r w:rsidR="006670C0" w:rsidRPr="002C15C0">
        <w:rPr>
          <w:szCs w:val="18"/>
        </w:rPr>
        <w:t>Automatic Identification System</w:t>
      </w:r>
    </w:p>
    <w:p w14:paraId="45FDEE78" w14:textId="380B8EB2" w:rsidR="008421BC" w:rsidRPr="002C15C0" w:rsidRDefault="008421BC" w:rsidP="008421BC">
      <w:pPr>
        <w:pStyle w:val="Acronym"/>
      </w:pPr>
      <w:r w:rsidRPr="002C15C0">
        <w:t>ASF</w:t>
      </w:r>
      <w:r w:rsidRPr="002C15C0">
        <w:tab/>
        <w:t>Additional Secondary Factor</w:t>
      </w:r>
      <w:r w:rsidR="006670C0" w:rsidRPr="002C15C0">
        <w:t>(</w:t>
      </w:r>
      <w:r w:rsidRPr="002C15C0">
        <w:t>s</w:t>
      </w:r>
      <w:r w:rsidR="006670C0" w:rsidRPr="002C15C0">
        <w:t>)</w:t>
      </w:r>
    </w:p>
    <w:p w14:paraId="402FF29A" w14:textId="5B5F27BE" w:rsidR="00D25A8D" w:rsidRPr="002C15C0" w:rsidRDefault="00D25A8D" w:rsidP="008421BC">
      <w:pPr>
        <w:pStyle w:val="Acronym"/>
      </w:pPr>
      <w:r w:rsidRPr="002C15C0">
        <w:t>BEIDOU</w:t>
      </w:r>
      <w:r w:rsidRPr="002C15C0">
        <w:tab/>
      </w:r>
      <w:r w:rsidR="009A67E6" w:rsidRPr="002C15C0">
        <w:rPr>
          <w:szCs w:val="18"/>
        </w:rPr>
        <w:t>Global Navigation Satellite System</w:t>
      </w:r>
      <w:r w:rsidR="009A67E6" w:rsidRPr="002C15C0">
        <w:t>; operated by the Government of China</w:t>
      </w:r>
    </w:p>
    <w:p w14:paraId="39B24D9B" w14:textId="77777777" w:rsidR="008421BC" w:rsidRPr="002C15C0" w:rsidRDefault="008421BC" w:rsidP="008421BC">
      <w:pPr>
        <w:pStyle w:val="Acronym"/>
      </w:pPr>
      <w:r w:rsidRPr="002C15C0">
        <w:t>dBW</w:t>
      </w:r>
      <w:r w:rsidRPr="002C15C0">
        <w:tab/>
        <w:t>decibels relative to One (1) Watt</w:t>
      </w:r>
    </w:p>
    <w:p w14:paraId="4F45D124" w14:textId="2CAE1BEE" w:rsidR="006670C0" w:rsidRPr="002C15C0" w:rsidRDefault="006670C0" w:rsidP="008421BC">
      <w:pPr>
        <w:pStyle w:val="Acronym"/>
      </w:pPr>
      <w:r w:rsidRPr="002C15C0">
        <w:t>DGNSS</w:t>
      </w:r>
      <w:r w:rsidRPr="002C15C0">
        <w:tab/>
      </w:r>
      <w:r w:rsidR="009A67E6" w:rsidRPr="002C15C0">
        <w:rPr>
          <w:szCs w:val="18"/>
        </w:rPr>
        <w:t>Differential Global Navigation Satellite System</w:t>
      </w:r>
    </w:p>
    <w:p w14:paraId="08580F40" w14:textId="4390DC6C" w:rsidR="008421BC" w:rsidRPr="002C15C0" w:rsidRDefault="009A67E6" w:rsidP="008421BC">
      <w:pPr>
        <w:pStyle w:val="Acronym"/>
      </w:pPr>
      <w:r w:rsidRPr="002C15C0">
        <w:t>DME</w:t>
      </w:r>
      <w:r w:rsidR="008421BC" w:rsidRPr="002C15C0">
        <w:tab/>
        <w:t>Distance Measuring Equipment</w:t>
      </w:r>
    </w:p>
    <w:p w14:paraId="354DB8DB" w14:textId="77777777" w:rsidR="008421BC" w:rsidRPr="002C15C0" w:rsidRDefault="008421BC" w:rsidP="008421BC">
      <w:pPr>
        <w:pStyle w:val="Acronym"/>
      </w:pPr>
      <w:r w:rsidRPr="002C15C0">
        <w:t>ECDIS</w:t>
      </w:r>
      <w:r w:rsidRPr="002C15C0">
        <w:tab/>
        <w:t>Electronic Chart Display</w:t>
      </w:r>
    </w:p>
    <w:p w14:paraId="01B982A7" w14:textId="77777777" w:rsidR="008421BC" w:rsidRPr="002C15C0" w:rsidRDefault="008421BC" w:rsidP="008421BC">
      <w:pPr>
        <w:pStyle w:val="Acronym"/>
      </w:pPr>
      <w:r w:rsidRPr="002C15C0">
        <w:t>EGNOS</w:t>
      </w:r>
      <w:r w:rsidRPr="002C15C0">
        <w:tab/>
        <w:t>European Geostationary Navigation Overlay System</w:t>
      </w:r>
    </w:p>
    <w:p w14:paraId="48D8F39A" w14:textId="6541AFF3" w:rsidR="006670C0" w:rsidRPr="002C15C0" w:rsidRDefault="006670C0" w:rsidP="008421BC">
      <w:pPr>
        <w:pStyle w:val="Acronym"/>
      </w:pPr>
      <w:r w:rsidRPr="002C15C0">
        <w:t>eNAV</w:t>
      </w:r>
      <w:r w:rsidR="009A67E6" w:rsidRPr="002C15C0">
        <w:rPr>
          <w:szCs w:val="18"/>
        </w:rPr>
        <w:t xml:space="preserve"> </w:t>
      </w:r>
      <w:r w:rsidR="009A67E6" w:rsidRPr="002C15C0">
        <w:rPr>
          <w:szCs w:val="18"/>
        </w:rPr>
        <w:tab/>
      </w:r>
      <w:r w:rsidR="009A67E6" w:rsidRPr="002C15C0">
        <w:t>e-Navigation Committee (IALA), now named ENAV</w:t>
      </w:r>
    </w:p>
    <w:p w14:paraId="44D5F305" w14:textId="77777777" w:rsidR="008421BC" w:rsidRPr="002C15C0" w:rsidRDefault="008421BC" w:rsidP="008421BC">
      <w:pPr>
        <w:pStyle w:val="Acronym"/>
      </w:pPr>
      <w:r w:rsidRPr="002C15C0">
        <w:t>ENC</w:t>
      </w:r>
      <w:r w:rsidRPr="002C15C0">
        <w:tab/>
        <w:t>Electronic Navigational Chart</w:t>
      </w:r>
    </w:p>
    <w:p w14:paraId="26E0B693" w14:textId="1B679406" w:rsidR="006670C0" w:rsidRPr="002C15C0" w:rsidRDefault="006670C0" w:rsidP="008421BC">
      <w:pPr>
        <w:pStyle w:val="Acronym"/>
      </w:pPr>
      <w:r w:rsidRPr="002C15C0">
        <w:lastRenderedPageBreak/>
        <w:t>GBAS</w:t>
      </w:r>
      <w:r w:rsidRPr="002C15C0">
        <w:tab/>
      </w:r>
      <w:r w:rsidR="009A67E6" w:rsidRPr="002C15C0">
        <w:t>Ground-</w:t>
      </w:r>
      <w:r w:rsidRPr="002C15C0">
        <w:t>Based Augmentation System</w:t>
      </w:r>
    </w:p>
    <w:p w14:paraId="5ED8E30E" w14:textId="6AF9B3B3" w:rsidR="008421BC" w:rsidRPr="002C15C0" w:rsidRDefault="008421BC" w:rsidP="008421BC">
      <w:pPr>
        <w:pStyle w:val="Acronym"/>
      </w:pPr>
      <w:r w:rsidRPr="002C15C0">
        <w:t>GLONASS</w:t>
      </w:r>
      <w:r w:rsidRPr="002C15C0">
        <w:tab/>
      </w:r>
      <w:r w:rsidR="009A67E6" w:rsidRPr="002C15C0">
        <w:rPr>
          <w:szCs w:val="18"/>
        </w:rPr>
        <w:t>Global Navigation Satellite System; operated by the Government of the Russian Federation</w:t>
      </w:r>
    </w:p>
    <w:p w14:paraId="418B7191" w14:textId="77777777" w:rsidR="008421BC" w:rsidRPr="002C15C0" w:rsidRDefault="008421BC" w:rsidP="008421BC">
      <w:pPr>
        <w:pStyle w:val="Acronym"/>
      </w:pPr>
      <w:r w:rsidRPr="002C15C0">
        <w:t>GMDSS</w:t>
      </w:r>
      <w:r w:rsidRPr="002C15C0">
        <w:tab/>
        <w:t>Global Maritime Distress and Safety System</w:t>
      </w:r>
    </w:p>
    <w:p w14:paraId="1FB25921" w14:textId="64B67FAA" w:rsidR="00D25A8D" w:rsidRPr="002C15C0" w:rsidRDefault="00D25A8D" w:rsidP="008421BC">
      <w:pPr>
        <w:pStyle w:val="Acronym"/>
      </w:pPr>
      <w:r w:rsidRPr="002C15C0">
        <w:t>GNSS</w:t>
      </w:r>
      <w:r w:rsidRPr="002C15C0">
        <w:tab/>
        <w:t>Global Navigation Satellite Systems</w:t>
      </w:r>
    </w:p>
    <w:p w14:paraId="5A64ADBC" w14:textId="0196DA92" w:rsidR="00D25A8D" w:rsidRPr="002C15C0" w:rsidRDefault="00D25A8D" w:rsidP="008421BC">
      <w:pPr>
        <w:pStyle w:val="Acronym"/>
      </w:pPr>
      <w:r w:rsidRPr="002C15C0">
        <w:t>GPS</w:t>
      </w:r>
      <w:r w:rsidRPr="002C15C0">
        <w:tab/>
      </w:r>
      <w:r w:rsidR="009A67E6" w:rsidRPr="002C15C0">
        <w:rPr>
          <w:szCs w:val="18"/>
        </w:rPr>
        <w:t>Global Positioning System; operated by the Government of the United States</w:t>
      </w:r>
    </w:p>
    <w:p w14:paraId="4CD3BA80" w14:textId="1162E0DA" w:rsidR="006670C0" w:rsidRPr="002C15C0" w:rsidRDefault="006670C0" w:rsidP="008421BC">
      <w:pPr>
        <w:pStyle w:val="Acronym"/>
      </w:pPr>
      <w:r w:rsidRPr="002C15C0">
        <w:t>GSSB</w:t>
      </w:r>
      <w:r w:rsidRPr="002C15C0">
        <w:tab/>
        <w:t>The Galileo System Security Board</w:t>
      </w:r>
    </w:p>
    <w:p w14:paraId="20586471" w14:textId="7F01C483" w:rsidR="00D25A8D" w:rsidRPr="002C15C0" w:rsidRDefault="00D25A8D" w:rsidP="008421BC">
      <w:pPr>
        <w:pStyle w:val="Acronym"/>
      </w:pPr>
      <w:r w:rsidRPr="002C15C0">
        <w:t>IALA</w:t>
      </w:r>
      <w:r w:rsidRPr="002C15C0">
        <w:tab/>
      </w:r>
      <w:r w:rsidR="009A67E6" w:rsidRPr="002C15C0">
        <w:rPr>
          <w:szCs w:val="18"/>
        </w:rPr>
        <w:t>International Association of Marine Aids to Navigation and Lighthouse Authorities - AISM</w:t>
      </w:r>
    </w:p>
    <w:p w14:paraId="60A69ABA" w14:textId="728ABB71" w:rsidR="006670C0" w:rsidRPr="002C15C0" w:rsidRDefault="006670C0" w:rsidP="008421BC">
      <w:pPr>
        <w:pStyle w:val="Acronym"/>
      </w:pPr>
      <w:r w:rsidRPr="002C15C0">
        <w:t>ID</w:t>
      </w:r>
      <w:r w:rsidRPr="002C15C0">
        <w:tab/>
        <w:t>Identity</w:t>
      </w:r>
    </w:p>
    <w:p w14:paraId="1D90AD95" w14:textId="0F534676" w:rsidR="008421BC" w:rsidRPr="002C15C0" w:rsidRDefault="008421BC" w:rsidP="008421BC">
      <w:pPr>
        <w:pStyle w:val="Acronym"/>
      </w:pPr>
      <w:r w:rsidRPr="002C15C0">
        <w:t>IEC</w:t>
      </w:r>
      <w:r w:rsidRPr="002C15C0">
        <w:tab/>
        <w:t>I</w:t>
      </w:r>
      <w:r w:rsidR="009A67E6" w:rsidRPr="002C15C0">
        <w:t>nternational Electro</w:t>
      </w:r>
      <w:r w:rsidRPr="002C15C0">
        <w:t>technical Commission</w:t>
      </w:r>
    </w:p>
    <w:p w14:paraId="525FE1CD" w14:textId="77777777" w:rsidR="008421BC" w:rsidRPr="002C15C0" w:rsidRDefault="008421BC" w:rsidP="008421BC">
      <w:pPr>
        <w:pStyle w:val="Acronym"/>
      </w:pPr>
      <w:r w:rsidRPr="002C15C0">
        <w:t>IMO</w:t>
      </w:r>
      <w:r w:rsidRPr="002C15C0">
        <w:tab/>
        <w:t>International Maritime Organization</w:t>
      </w:r>
    </w:p>
    <w:p w14:paraId="6FD01151" w14:textId="58DD475C" w:rsidR="00D25A8D" w:rsidRPr="002C15C0" w:rsidRDefault="00D25A8D" w:rsidP="008421BC">
      <w:pPr>
        <w:pStyle w:val="Acronym"/>
      </w:pPr>
      <w:r w:rsidRPr="002C15C0">
        <w:t>INS</w:t>
      </w:r>
      <w:r w:rsidRPr="002C15C0">
        <w:tab/>
      </w:r>
      <w:r w:rsidR="009A67E6" w:rsidRPr="002C15C0">
        <w:rPr>
          <w:szCs w:val="18"/>
        </w:rPr>
        <w:t>Integrated Navigation System, as defined by IMO Performance Standards</w:t>
      </w:r>
    </w:p>
    <w:p w14:paraId="4FBA0111" w14:textId="2DC7C650" w:rsidR="006670C0" w:rsidRPr="002C15C0" w:rsidRDefault="006670C0" w:rsidP="008421BC">
      <w:pPr>
        <w:pStyle w:val="Acronym"/>
      </w:pPr>
      <w:r w:rsidRPr="002C15C0">
        <w:t>ION</w:t>
      </w:r>
      <w:r w:rsidRPr="002C15C0">
        <w:tab/>
        <w:t>Institute of Navigation</w:t>
      </w:r>
    </w:p>
    <w:p w14:paraId="436669E9" w14:textId="2FD91792" w:rsidR="008421BC" w:rsidRPr="002C15C0" w:rsidRDefault="009A67E6" w:rsidP="008421BC">
      <w:pPr>
        <w:pStyle w:val="Acronym"/>
      </w:pPr>
      <w:r w:rsidRPr="002C15C0">
        <w:t>LBS</w:t>
      </w:r>
      <w:r w:rsidR="008421BC" w:rsidRPr="002C15C0">
        <w:tab/>
        <w:t>Location Based Services</w:t>
      </w:r>
    </w:p>
    <w:p w14:paraId="4AF9F3D3" w14:textId="77777777" w:rsidR="008421BC" w:rsidRPr="002C15C0" w:rsidRDefault="008421BC" w:rsidP="008421BC">
      <w:pPr>
        <w:pStyle w:val="Acronym"/>
      </w:pPr>
      <w:r w:rsidRPr="002C15C0">
        <w:t>Loran</w:t>
      </w:r>
      <w:r w:rsidRPr="002C15C0">
        <w:tab/>
        <w:t>Long Range Navigation</w:t>
      </w:r>
    </w:p>
    <w:p w14:paraId="720BB9DE" w14:textId="77777777" w:rsidR="008421BC" w:rsidRPr="002C15C0" w:rsidRDefault="008421BC" w:rsidP="008421BC">
      <w:pPr>
        <w:pStyle w:val="Acronym"/>
      </w:pPr>
      <w:r w:rsidRPr="002C15C0">
        <w:t>NDB</w:t>
      </w:r>
      <w:r w:rsidRPr="002C15C0">
        <w:tab/>
        <w:t>(Aeronautical) Non-Directional Beacon</w:t>
      </w:r>
    </w:p>
    <w:p w14:paraId="46E68025" w14:textId="77777777" w:rsidR="008421BC" w:rsidRPr="002C15C0" w:rsidRDefault="008421BC" w:rsidP="008421BC">
      <w:pPr>
        <w:pStyle w:val="Acronym"/>
      </w:pPr>
      <w:r w:rsidRPr="002C15C0">
        <w:t>PNT</w:t>
      </w:r>
      <w:r w:rsidRPr="002C15C0">
        <w:tab/>
        <w:t>Position, Navigation &amp; Timing</w:t>
      </w:r>
    </w:p>
    <w:p w14:paraId="5E22A80B" w14:textId="4ED031A3" w:rsidR="006670C0" w:rsidRPr="002C15C0" w:rsidRDefault="006670C0" w:rsidP="008421BC">
      <w:pPr>
        <w:pStyle w:val="Acronym"/>
      </w:pPr>
      <w:r w:rsidRPr="002C15C0">
        <w:t>RAIM</w:t>
      </w:r>
      <w:r w:rsidRPr="002C15C0">
        <w:tab/>
        <w:t>Receiver Autonomous Integrity Monitoring</w:t>
      </w:r>
    </w:p>
    <w:p w14:paraId="47B06B77" w14:textId="6A68AD78" w:rsidR="006670C0" w:rsidRPr="002C15C0" w:rsidRDefault="006670C0" w:rsidP="008421BC">
      <w:pPr>
        <w:pStyle w:val="Acronym"/>
      </w:pPr>
      <w:r w:rsidRPr="002C15C0">
        <w:t>R-Mode</w:t>
      </w:r>
      <w:r w:rsidRPr="002C15C0">
        <w:tab/>
        <w:t>Ranging Mode</w:t>
      </w:r>
    </w:p>
    <w:p w14:paraId="640FBC6F" w14:textId="5237FB4E" w:rsidR="006670C0" w:rsidRPr="002C15C0" w:rsidRDefault="006670C0" w:rsidP="008421BC">
      <w:pPr>
        <w:pStyle w:val="Acronym"/>
      </w:pPr>
      <w:r w:rsidRPr="002C15C0">
        <w:t>RTCM</w:t>
      </w:r>
      <w:r w:rsidRPr="002C15C0">
        <w:tab/>
      </w:r>
      <w:r w:rsidR="00CA3042" w:rsidRPr="002C15C0">
        <w:rPr>
          <w:szCs w:val="18"/>
        </w:rPr>
        <w:t>Radio Technical Commission for Maritime Services</w:t>
      </w:r>
    </w:p>
    <w:p w14:paraId="13CEE715" w14:textId="15709F8D" w:rsidR="008421BC" w:rsidRPr="002C15C0" w:rsidRDefault="008421BC" w:rsidP="008421BC">
      <w:pPr>
        <w:pStyle w:val="Acronym"/>
      </w:pPr>
      <w:r w:rsidRPr="002C15C0">
        <w:t>SOLAS</w:t>
      </w:r>
      <w:r w:rsidRPr="002C15C0">
        <w:tab/>
      </w:r>
      <w:r w:rsidR="00CA3042" w:rsidRPr="002C15C0">
        <w:t>International Convention for the Safety of Life at Sea (IMO 1974 as amended)</w:t>
      </w:r>
    </w:p>
    <w:p w14:paraId="2B41D5F7" w14:textId="54815127" w:rsidR="00D25A8D" w:rsidRPr="002C15C0" w:rsidRDefault="00D25A8D" w:rsidP="008421BC">
      <w:pPr>
        <w:pStyle w:val="Acronym"/>
      </w:pPr>
      <w:r w:rsidRPr="002C15C0">
        <w:t>TV</w:t>
      </w:r>
      <w:r w:rsidRPr="002C15C0">
        <w:tab/>
      </w:r>
      <w:r w:rsidR="00CA3042" w:rsidRPr="002C15C0">
        <w:rPr>
          <w:szCs w:val="18"/>
        </w:rPr>
        <w:t>Television</w:t>
      </w:r>
    </w:p>
    <w:p w14:paraId="0383C9BA" w14:textId="77777777" w:rsidR="008421BC" w:rsidRPr="002C15C0" w:rsidRDefault="008421BC" w:rsidP="008421BC">
      <w:pPr>
        <w:pStyle w:val="Acronym"/>
      </w:pPr>
      <w:r w:rsidRPr="002C15C0">
        <w:t>UMTS</w:t>
      </w:r>
      <w:r w:rsidRPr="002C15C0">
        <w:tab/>
        <w:t>Universal Mobile Telecommunications System</w:t>
      </w:r>
    </w:p>
    <w:p w14:paraId="71DEA7C7" w14:textId="77777777" w:rsidR="008421BC" w:rsidRPr="002C15C0" w:rsidRDefault="008421BC" w:rsidP="008421BC">
      <w:pPr>
        <w:pStyle w:val="Acronym"/>
      </w:pPr>
      <w:r w:rsidRPr="002C15C0">
        <w:t>VOR</w:t>
      </w:r>
      <w:r w:rsidRPr="002C15C0">
        <w:tab/>
        <w:t>VHF Omnidirectional Ranging</w:t>
      </w:r>
    </w:p>
    <w:p w14:paraId="2234D719" w14:textId="0AA3BAEE" w:rsidR="00D25A8D" w:rsidRPr="002C15C0" w:rsidRDefault="00D25A8D" w:rsidP="008421BC">
      <w:pPr>
        <w:pStyle w:val="Acronym"/>
      </w:pPr>
      <w:r w:rsidRPr="002C15C0">
        <w:t>VTS</w:t>
      </w:r>
      <w:r w:rsidRPr="002C15C0">
        <w:tab/>
      </w:r>
      <w:r w:rsidR="00CA3042" w:rsidRPr="002C15C0">
        <w:t>Vessel Traffic Services</w:t>
      </w:r>
    </w:p>
    <w:p w14:paraId="587EC628" w14:textId="289D81DD" w:rsidR="006744D8" w:rsidRPr="002C15C0" w:rsidRDefault="008421BC" w:rsidP="008421BC">
      <w:pPr>
        <w:pStyle w:val="Acronym"/>
      </w:pPr>
      <w:r w:rsidRPr="002C15C0">
        <w:t>WAAS</w:t>
      </w:r>
      <w:r w:rsidRPr="002C15C0">
        <w:tab/>
      </w:r>
      <w:r w:rsidR="00CA3042" w:rsidRPr="002C15C0">
        <w:t>Wide Area Augmentation System; developed by the Government of the United States</w:t>
      </w:r>
    </w:p>
    <w:p w14:paraId="1284D67C" w14:textId="77777777" w:rsidR="00D32DDF" w:rsidRPr="002C15C0" w:rsidRDefault="00D32DDF" w:rsidP="002C77F4">
      <w:pPr>
        <w:pStyle w:val="Heading1"/>
      </w:pPr>
      <w:bookmarkStart w:id="33" w:name="_Toc467068156"/>
      <w:r w:rsidRPr="002C15C0">
        <w:t>R</w:t>
      </w:r>
      <w:r w:rsidR="0093492E" w:rsidRPr="002C15C0">
        <w:t>EFERENCES</w:t>
      </w:r>
      <w:bookmarkEnd w:id="33"/>
    </w:p>
    <w:p w14:paraId="0D250062" w14:textId="77777777" w:rsidR="00D32DDF" w:rsidRPr="002C15C0" w:rsidRDefault="00D32DDF" w:rsidP="00D32DDF">
      <w:pPr>
        <w:pStyle w:val="Heading1separatationline"/>
      </w:pPr>
    </w:p>
    <w:p w14:paraId="216BB6D1" w14:textId="77777777" w:rsidR="00670ACB" w:rsidRPr="002C15C0" w:rsidRDefault="00670ACB" w:rsidP="00670ACB">
      <w:pPr>
        <w:pStyle w:val="Reference"/>
      </w:pPr>
      <w:bookmarkStart w:id="34" w:name="_Ref330386698"/>
      <w:r w:rsidRPr="002C15C0">
        <w:t>John A. Volpe National Transportation Systems Center, Vulnerability assessment of the Transportation Infrastructure relying on the Global Positioning System. Final report, August 2001.</w:t>
      </w:r>
      <w:bookmarkEnd w:id="34"/>
    </w:p>
    <w:p w14:paraId="3C51281F" w14:textId="77777777" w:rsidR="00670ACB" w:rsidRPr="002C15C0" w:rsidRDefault="00670ACB" w:rsidP="00670ACB">
      <w:pPr>
        <w:pStyle w:val="Reference"/>
      </w:pPr>
      <w:bookmarkStart w:id="35" w:name="_Ref330386706"/>
      <w:r w:rsidRPr="002C15C0">
        <w:t>S.J.Harding, Study into the impact on capability of UK Commercial and Domestic Services Resulting from the loss of GPS Signals. Qinetiq Report for the UK Radiocommunications Agency, 2001.</w:t>
      </w:r>
      <w:bookmarkEnd w:id="35"/>
    </w:p>
    <w:p w14:paraId="107D0FF2" w14:textId="77777777" w:rsidR="00670ACB" w:rsidRPr="002C15C0" w:rsidRDefault="00670ACB" w:rsidP="00670ACB">
      <w:pPr>
        <w:pStyle w:val="Reference"/>
      </w:pPr>
      <w:bookmarkStart w:id="36" w:name="_Ref330386711"/>
      <w:r w:rsidRPr="002C15C0">
        <w:t>GNSS 2 High Level Group 3 on Security and Defence issues, 1999.</w:t>
      </w:r>
      <w:bookmarkEnd w:id="36"/>
    </w:p>
    <w:p w14:paraId="28D972DC" w14:textId="77777777" w:rsidR="00670ACB" w:rsidRPr="002C15C0" w:rsidRDefault="00670ACB" w:rsidP="00670ACB">
      <w:pPr>
        <w:pStyle w:val="Reference"/>
      </w:pPr>
      <w:bookmarkStart w:id="37" w:name="_Ref330386718"/>
      <w:r w:rsidRPr="002C15C0">
        <w:t>The Galileo System Security Board (GSSB) – Galileo Threats and Vulnerabilities, 2001.</w:t>
      </w:r>
      <w:bookmarkEnd w:id="37"/>
    </w:p>
    <w:p w14:paraId="39182163" w14:textId="77777777" w:rsidR="00670ACB" w:rsidRPr="002C15C0" w:rsidRDefault="00670ACB" w:rsidP="00670ACB">
      <w:pPr>
        <w:pStyle w:val="Reference"/>
      </w:pPr>
      <w:bookmarkStart w:id="38" w:name="_Ref330386814"/>
      <w:r w:rsidRPr="002C15C0">
        <w:t>Global Navigation Space Systems: reliance and vulnerabilities, The Royal Academy of Engineering, ISBN 1-903496-62-4, March 2011.</w:t>
      </w:r>
      <w:bookmarkEnd w:id="38"/>
    </w:p>
    <w:p w14:paraId="6DC5A708" w14:textId="77777777" w:rsidR="00670ACB" w:rsidRPr="002C15C0" w:rsidRDefault="00670ACB" w:rsidP="00670ACB">
      <w:pPr>
        <w:pStyle w:val="Reference"/>
      </w:pPr>
      <w:bookmarkStart w:id="39" w:name="_Ref330386821"/>
      <w:r w:rsidRPr="002C15C0">
        <w:t>ICAO. Draft 11th ANC Secretariat Paper. Task 3. Mitigation of GNSS Vulnerabilities, Oct. 2002.</w:t>
      </w:r>
      <w:bookmarkEnd w:id="39"/>
    </w:p>
    <w:p w14:paraId="52A5D677" w14:textId="77777777" w:rsidR="00670ACB" w:rsidRPr="002C15C0" w:rsidRDefault="00670ACB" w:rsidP="00670ACB">
      <w:pPr>
        <w:pStyle w:val="Reference"/>
      </w:pPr>
      <w:bookmarkStart w:id="40" w:name="_Ref330386835"/>
      <w:r w:rsidRPr="002C15C0">
        <w:t>S.Williams. Commercial GPS Susceptibility. RTCM 2004 Annual Assembly Proceedings.</w:t>
      </w:r>
      <w:bookmarkEnd w:id="40"/>
      <w:r w:rsidRPr="002C15C0">
        <w:t xml:space="preserve"> </w:t>
      </w:r>
    </w:p>
    <w:p w14:paraId="3F21771C" w14:textId="77777777" w:rsidR="00670ACB" w:rsidRPr="002C15C0" w:rsidRDefault="00670ACB" w:rsidP="00670ACB">
      <w:pPr>
        <w:pStyle w:val="Reference"/>
      </w:pPr>
      <w:bookmarkStart w:id="41" w:name="_Ref330386843"/>
      <w:r w:rsidRPr="002C15C0">
        <w:t>P.H. Doherty et al. ION GPS-2000, Sept. 2000, p. 662.</w:t>
      </w:r>
      <w:bookmarkEnd w:id="41"/>
    </w:p>
    <w:p w14:paraId="01E34BE3" w14:textId="77777777" w:rsidR="00670ACB" w:rsidRPr="002C15C0" w:rsidRDefault="00670ACB" w:rsidP="00670ACB">
      <w:pPr>
        <w:pStyle w:val="Reference"/>
      </w:pPr>
      <w:bookmarkStart w:id="42" w:name="_Ref330386849"/>
      <w:r w:rsidRPr="002C15C0">
        <w:t>International Maritime Organization (IMO), 2003. World-Wide Radionavigation System Resolution A.953(23).</w:t>
      </w:r>
      <w:bookmarkEnd w:id="42"/>
    </w:p>
    <w:p w14:paraId="07E2E75C" w14:textId="77777777" w:rsidR="00670ACB" w:rsidRPr="002C15C0" w:rsidRDefault="00670ACB" w:rsidP="00670ACB">
      <w:pPr>
        <w:pStyle w:val="Reference"/>
      </w:pPr>
      <w:bookmarkStart w:id="43" w:name="_Ref330386860"/>
      <w:r w:rsidRPr="002C15C0">
        <w:lastRenderedPageBreak/>
        <w:t>J.R. Clynch, A.A. Parker, R.W. Adler, W.R. Vincent, P. McGill, G. Badger. GPS World, January 2003. The Hunt for RFI – Unjamming a Coast Harbor.</w:t>
      </w:r>
      <w:bookmarkEnd w:id="43"/>
      <w:r w:rsidRPr="002C15C0">
        <w:t xml:space="preserve"> </w:t>
      </w:r>
    </w:p>
    <w:p w14:paraId="26D26820" w14:textId="77777777" w:rsidR="00670ACB" w:rsidRPr="002C15C0" w:rsidRDefault="00670ACB" w:rsidP="00670ACB">
      <w:pPr>
        <w:pStyle w:val="Reference"/>
      </w:pPr>
      <w:bookmarkStart w:id="44" w:name="_Ref330386886"/>
      <w:r w:rsidRPr="002C15C0">
        <w:t>A.Grant, P.Williams, N.Ward &amp; S.Basker, GPS Jamming and the Impact on Marine Navigation. GNSS Vulnerabilities and Solutions Conference, Royal Institute of Navigation. September 2008.</w:t>
      </w:r>
      <w:bookmarkEnd w:id="44"/>
    </w:p>
    <w:p w14:paraId="70F16AD4" w14:textId="77777777" w:rsidR="00670ACB" w:rsidRPr="002C15C0" w:rsidRDefault="00670ACB" w:rsidP="00670ACB">
      <w:pPr>
        <w:pStyle w:val="Reference"/>
      </w:pPr>
      <w:bookmarkStart w:id="45" w:name="_Ref330386909"/>
      <w:r w:rsidRPr="002C15C0">
        <w:t>eLoran. Securing Positioning, Navigation and Timing for Europe’s Future. European eLoran Forum. April 2008.</w:t>
      </w:r>
      <w:bookmarkEnd w:id="45"/>
    </w:p>
    <w:p w14:paraId="789C4873" w14:textId="77777777" w:rsidR="00670ACB" w:rsidRPr="002C15C0" w:rsidRDefault="00670ACB" w:rsidP="00670ACB">
      <w:pPr>
        <w:pStyle w:val="Reference"/>
      </w:pPr>
      <w:bookmarkStart w:id="46" w:name="_Ref330386925"/>
      <w:r w:rsidRPr="002C15C0">
        <w:t>German Federal Waterways and Shipping Administration. Contribution to the IALA World Wide Radio Navigation plan, IALA eNAV 4, February 2008.</w:t>
      </w:r>
      <w:bookmarkEnd w:id="46"/>
    </w:p>
    <w:p w14:paraId="2723AF0D" w14:textId="658B8EEA" w:rsidR="00D32DDF" w:rsidRPr="002C15C0" w:rsidRDefault="00670ACB" w:rsidP="00670ACB">
      <w:pPr>
        <w:pStyle w:val="Reference"/>
      </w:pPr>
      <w:bookmarkStart w:id="47" w:name="_Ref336501266"/>
      <w:r w:rsidRPr="002C15C0">
        <w:t xml:space="preserve">IALA, Recommendation R-121, </w:t>
      </w:r>
      <w:r w:rsidR="002C15C0">
        <w:t>‘</w:t>
      </w:r>
      <w:r w:rsidRPr="002C15C0">
        <w:t>The Performance and Monitoring of DGNSS Services in the Frequency Band 283.5 – 325 kHz</w:t>
      </w:r>
      <w:r w:rsidR="002C15C0">
        <w:t>’</w:t>
      </w:r>
      <w:r w:rsidRPr="002C15C0">
        <w:t>, Edition 1, 2004</w:t>
      </w:r>
      <w:bookmarkEnd w:id="47"/>
    </w:p>
    <w:p w14:paraId="1EFF5B98" w14:textId="77777777" w:rsidR="008972C3" w:rsidRPr="002C15C0" w:rsidRDefault="008972C3" w:rsidP="00F707B3">
      <w:pPr>
        <w:pStyle w:val="BodyText"/>
      </w:pPr>
    </w:p>
    <w:p w14:paraId="45698FD7" w14:textId="77777777" w:rsidR="00BF1358" w:rsidRPr="002C15C0" w:rsidRDefault="00BF1358" w:rsidP="00CA3042">
      <w:pPr>
        <w:pStyle w:val="BodyText"/>
        <w:sectPr w:rsidR="00BF1358" w:rsidRPr="002C15C0" w:rsidSect="00C716E5">
          <w:headerReference w:type="default" r:id="rId21"/>
          <w:pgSz w:w="11906" w:h="16838" w:code="9"/>
          <w:pgMar w:top="567" w:right="794" w:bottom="567" w:left="907" w:header="850" w:footer="850" w:gutter="0"/>
          <w:cols w:space="708"/>
          <w:docGrid w:linePitch="360"/>
        </w:sectPr>
      </w:pPr>
      <w:bookmarkStart w:id="48" w:name="_Toc434514869"/>
    </w:p>
    <w:p w14:paraId="7AA848AD" w14:textId="05CD5D14" w:rsidR="008972C3" w:rsidRPr="002C15C0" w:rsidRDefault="00CA3042" w:rsidP="00DE2814">
      <w:pPr>
        <w:pStyle w:val="Annex"/>
      </w:pPr>
      <w:bookmarkStart w:id="49" w:name="_Toc216677658"/>
      <w:bookmarkStart w:id="50" w:name="_Ref467063299"/>
      <w:bookmarkStart w:id="51" w:name="_Toc467068157"/>
      <w:bookmarkEnd w:id="48"/>
      <w:r w:rsidRPr="002C15C0">
        <w:rPr>
          <w:caps w:val="0"/>
        </w:rPr>
        <w:lastRenderedPageBreak/>
        <w:t>SUGGESTED MINIMUM MARITIME USER REQUIREMENTS FOR GENERAL NAVIGATION – BACKUP SYSTEM</w:t>
      </w:r>
      <w:bookmarkEnd w:id="49"/>
      <w:bookmarkEnd w:id="50"/>
      <w:bookmarkEnd w:id="51"/>
    </w:p>
    <w:p w14:paraId="4EF6B4F7" w14:textId="2528372B" w:rsidR="00670ACB" w:rsidRPr="002C15C0" w:rsidRDefault="00670ACB" w:rsidP="00670ACB">
      <w:pPr>
        <w:pStyle w:val="Tablecaption"/>
        <w:jc w:val="center"/>
      </w:pPr>
      <w:bookmarkStart w:id="52" w:name="_Toc467068159"/>
      <w:commentRangeStart w:id="53"/>
      <w:r w:rsidRPr="002C15C0">
        <w:t>Suggested minimum</w:t>
      </w:r>
      <w:commentRangeEnd w:id="53"/>
      <w:r w:rsidR="00275283" w:rsidRPr="002C15C0">
        <w:rPr>
          <w:rStyle w:val="CommentReference"/>
          <w:b w:val="0"/>
          <w:bCs w:val="0"/>
          <w:i w:val="0"/>
          <w:color w:val="auto"/>
          <w:u w:val="none"/>
        </w:rPr>
        <w:commentReference w:id="53"/>
      </w:r>
      <w:r w:rsidRPr="002C15C0">
        <w:t xml:space="preserve"> requirements</w:t>
      </w:r>
      <w:r w:rsidR="00275283" w:rsidRPr="002C15C0">
        <w:t xml:space="preserve"> de</w:t>
      </w:r>
      <w:r w:rsidR="00534839" w:rsidRPr="002C15C0">
        <w:t>rived from IMO Resolution A.915(22)</w:t>
      </w:r>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1"/>
        <w:gridCol w:w="1391"/>
        <w:gridCol w:w="1247"/>
        <w:gridCol w:w="1666"/>
        <w:gridCol w:w="1474"/>
        <w:gridCol w:w="1505"/>
        <w:gridCol w:w="1498"/>
        <w:gridCol w:w="1335"/>
        <w:gridCol w:w="1496"/>
      </w:tblGrid>
      <w:tr w:rsidR="00670ACB" w:rsidRPr="002C15C0" w14:paraId="7011836F" w14:textId="77777777" w:rsidTr="002C1F3D">
        <w:trPr>
          <w:cantSplit/>
          <w:jc w:val="center"/>
        </w:trPr>
        <w:tc>
          <w:tcPr>
            <w:tcW w:w="1681" w:type="dxa"/>
            <w:vMerge w:val="restart"/>
            <w:tcBorders>
              <w:top w:val="nil"/>
              <w:left w:val="nil"/>
              <w:bottom w:val="single" w:sz="4" w:space="0" w:color="auto"/>
              <w:right w:val="single" w:sz="4" w:space="0" w:color="auto"/>
            </w:tcBorders>
          </w:tcPr>
          <w:p w14:paraId="6D28A0BB" w14:textId="77777777" w:rsidR="00670ACB" w:rsidRPr="002C15C0" w:rsidRDefault="00670ACB" w:rsidP="002C1F3D">
            <w:pPr>
              <w:pStyle w:val="IALABullet1"/>
              <w:numPr>
                <w:ilvl w:val="0"/>
                <w:numId w:val="0"/>
              </w:numPr>
              <w:spacing w:before="60"/>
              <w:rPr>
                <w:rFonts w:cs="Arial"/>
                <w:b w:val="0"/>
                <w:bCs/>
                <w:sz w:val="22"/>
              </w:rPr>
            </w:pPr>
          </w:p>
        </w:tc>
        <w:tc>
          <w:tcPr>
            <w:tcW w:w="5778" w:type="dxa"/>
            <w:gridSpan w:val="4"/>
            <w:tcBorders>
              <w:left w:val="single" w:sz="4" w:space="0" w:color="auto"/>
            </w:tcBorders>
          </w:tcPr>
          <w:p w14:paraId="4AAB1CFF" w14:textId="77777777" w:rsidR="00670ACB" w:rsidRPr="002C15C0" w:rsidRDefault="00670ACB" w:rsidP="00670ACB">
            <w:pPr>
              <w:pStyle w:val="Tableheading"/>
              <w:rPr>
                <w:lang w:val="en-GB"/>
              </w:rPr>
            </w:pPr>
            <w:r w:rsidRPr="002C15C0">
              <w:rPr>
                <w:lang w:val="en-GB"/>
              </w:rPr>
              <w:t>System level parameters</w:t>
            </w:r>
          </w:p>
        </w:tc>
        <w:tc>
          <w:tcPr>
            <w:tcW w:w="4338" w:type="dxa"/>
            <w:gridSpan w:val="3"/>
            <w:tcBorders>
              <w:right w:val="single" w:sz="4" w:space="0" w:color="auto"/>
            </w:tcBorders>
          </w:tcPr>
          <w:p w14:paraId="21842E3E" w14:textId="77777777" w:rsidR="00670ACB" w:rsidRPr="002C15C0" w:rsidRDefault="00670ACB" w:rsidP="00670ACB">
            <w:pPr>
              <w:pStyle w:val="Tableheading"/>
              <w:rPr>
                <w:lang w:val="en-GB"/>
              </w:rPr>
            </w:pPr>
            <w:r w:rsidRPr="002C15C0">
              <w:rPr>
                <w:lang w:val="en-GB"/>
              </w:rPr>
              <w:t>Service level parameters</w:t>
            </w:r>
          </w:p>
        </w:tc>
        <w:tc>
          <w:tcPr>
            <w:tcW w:w="1496" w:type="dxa"/>
            <w:tcBorders>
              <w:top w:val="nil"/>
              <w:left w:val="single" w:sz="4" w:space="0" w:color="auto"/>
              <w:bottom w:val="single" w:sz="4" w:space="0" w:color="auto"/>
              <w:right w:val="nil"/>
            </w:tcBorders>
          </w:tcPr>
          <w:p w14:paraId="66EEBE90" w14:textId="77777777" w:rsidR="00670ACB" w:rsidRPr="002C15C0" w:rsidRDefault="00670ACB" w:rsidP="002C1F3D">
            <w:pPr>
              <w:pStyle w:val="IALABullet1"/>
              <w:numPr>
                <w:ilvl w:val="0"/>
                <w:numId w:val="0"/>
              </w:numPr>
              <w:spacing w:before="60"/>
              <w:rPr>
                <w:rFonts w:cs="Arial"/>
                <w:b w:val="0"/>
                <w:bCs/>
                <w:sz w:val="22"/>
              </w:rPr>
            </w:pPr>
          </w:p>
        </w:tc>
      </w:tr>
      <w:tr w:rsidR="00670ACB" w:rsidRPr="002C15C0" w14:paraId="4BD7E615" w14:textId="77777777" w:rsidTr="002C1F3D">
        <w:trPr>
          <w:cantSplit/>
          <w:jc w:val="center"/>
        </w:trPr>
        <w:tc>
          <w:tcPr>
            <w:tcW w:w="1681" w:type="dxa"/>
            <w:vMerge/>
            <w:tcBorders>
              <w:left w:val="nil"/>
              <w:bottom w:val="single" w:sz="4" w:space="0" w:color="auto"/>
              <w:right w:val="single" w:sz="4" w:space="0" w:color="auto"/>
            </w:tcBorders>
          </w:tcPr>
          <w:p w14:paraId="6AEC3374" w14:textId="77777777" w:rsidR="00670ACB" w:rsidRPr="002C15C0" w:rsidRDefault="00670ACB" w:rsidP="002C1F3D">
            <w:pPr>
              <w:pStyle w:val="IALABullet1"/>
              <w:numPr>
                <w:ilvl w:val="0"/>
                <w:numId w:val="0"/>
              </w:numPr>
              <w:spacing w:before="60"/>
              <w:rPr>
                <w:rFonts w:cs="Arial"/>
                <w:b w:val="0"/>
                <w:bCs/>
                <w:sz w:val="22"/>
              </w:rPr>
            </w:pPr>
          </w:p>
        </w:tc>
        <w:tc>
          <w:tcPr>
            <w:tcW w:w="1391" w:type="dxa"/>
            <w:tcBorders>
              <w:left w:val="single" w:sz="4" w:space="0" w:color="auto"/>
            </w:tcBorders>
          </w:tcPr>
          <w:p w14:paraId="027EEC58" w14:textId="77777777" w:rsidR="00670ACB" w:rsidRPr="002C15C0" w:rsidRDefault="00670ACB" w:rsidP="00670ACB">
            <w:pPr>
              <w:pStyle w:val="Tabletext"/>
            </w:pPr>
            <w:r w:rsidRPr="002C15C0">
              <w:t>Absolute Accuracy</w:t>
            </w:r>
          </w:p>
        </w:tc>
        <w:tc>
          <w:tcPr>
            <w:tcW w:w="4387" w:type="dxa"/>
            <w:gridSpan w:val="3"/>
          </w:tcPr>
          <w:p w14:paraId="5A3DA18B" w14:textId="77777777" w:rsidR="00670ACB" w:rsidRPr="002C15C0" w:rsidRDefault="00670ACB" w:rsidP="00670ACB">
            <w:pPr>
              <w:pStyle w:val="Tabletext"/>
            </w:pPr>
            <w:r w:rsidRPr="002C15C0">
              <w:t>Integrity</w:t>
            </w:r>
          </w:p>
        </w:tc>
        <w:tc>
          <w:tcPr>
            <w:tcW w:w="1505" w:type="dxa"/>
            <w:vMerge w:val="restart"/>
          </w:tcPr>
          <w:p w14:paraId="096B2679" w14:textId="77777777" w:rsidR="00670ACB" w:rsidRPr="002C15C0" w:rsidRDefault="00670ACB" w:rsidP="00670ACB">
            <w:pPr>
              <w:pStyle w:val="Tabletext"/>
            </w:pPr>
            <w:r w:rsidRPr="002C15C0">
              <w:t>Availability</w:t>
            </w:r>
          </w:p>
          <w:p w14:paraId="6EAF9352" w14:textId="77777777" w:rsidR="00670ACB" w:rsidRPr="002C15C0" w:rsidRDefault="00670ACB" w:rsidP="00670ACB">
            <w:pPr>
              <w:pStyle w:val="Tabletext"/>
            </w:pPr>
            <w:r w:rsidRPr="002C15C0">
              <w:t>% per 30 days</w:t>
            </w:r>
          </w:p>
        </w:tc>
        <w:tc>
          <w:tcPr>
            <w:tcW w:w="1498" w:type="dxa"/>
            <w:vMerge w:val="restart"/>
          </w:tcPr>
          <w:p w14:paraId="60B3A6CD" w14:textId="77777777" w:rsidR="00670ACB" w:rsidRPr="002C15C0" w:rsidRDefault="00670ACB" w:rsidP="00670ACB">
            <w:pPr>
              <w:pStyle w:val="Tabletext"/>
            </w:pPr>
            <w:r w:rsidRPr="002C15C0">
              <w:t>Continuity</w:t>
            </w:r>
          </w:p>
          <w:p w14:paraId="6712E39B" w14:textId="77777777" w:rsidR="00670ACB" w:rsidRPr="002C15C0" w:rsidRDefault="00670ACB" w:rsidP="00670ACB">
            <w:pPr>
              <w:pStyle w:val="Tabletext"/>
            </w:pPr>
            <w:r w:rsidRPr="002C15C0">
              <w:t>% over 15 minutes</w:t>
            </w:r>
            <w:r w:rsidRPr="002C15C0">
              <w:rPr>
                <w:vertAlign w:val="superscript"/>
              </w:rPr>
              <w:t>3</w:t>
            </w:r>
          </w:p>
        </w:tc>
        <w:tc>
          <w:tcPr>
            <w:tcW w:w="1335" w:type="dxa"/>
            <w:vMerge w:val="restart"/>
          </w:tcPr>
          <w:p w14:paraId="5AB2A90B" w14:textId="77777777" w:rsidR="00670ACB" w:rsidRPr="002C15C0" w:rsidRDefault="00670ACB" w:rsidP="00670ACB">
            <w:pPr>
              <w:pStyle w:val="Tabletext"/>
            </w:pPr>
            <w:r w:rsidRPr="002C15C0">
              <w:t>Coverage</w:t>
            </w:r>
          </w:p>
        </w:tc>
        <w:tc>
          <w:tcPr>
            <w:tcW w:w="1496" w:type="dxa"/>
            <w:vMerge w:val="restart"/>
            <w:tcBorders>
              <w:top w:val="single" w:sz="4" w:space="0" w:color="auto"/>
            </w:tcBorders>
          </w:tcPr>
          <w:p w14:paraId="130BEEE1" w14:textId="77777777" w:rsidR="00670ACB" w:rsidRPr="002C15C0" w:rsidRDefault="00670ACB" w:rsidP="00670ACB">
            <w:pPr>
              <w:pStyle w:val="Tabletext"/>
            </w:pPr>
            <w:r w:rsidRPr="002C15C0">
              <w:t>Fix interval (seconds)</w:t>
            </w:r>
          </w:p>
        </w:tc>
      </w:tr>
      <w:tr w:rsidR="00670ACB" w:rsidRPr="002C15C0" w14:paraId="1742E2FA" w14:textId="77777777" w:rsidTr="002C1F3D">
        <w:trPr>
          <w:cantSplit/>
          <w:jc w:val="center"/>
        </w:trPr>
        <w:tc>
          <w:tcPr>
            <w:tcW w:w="1681" w:type="dxa"/>
            <w:vMerge/>
            <w:tcBorders>
              <w:left w:val="nil"/>
              <w:bottom w:val="single" w:sz="4" w:space="0" w:color="auto"/>
              <w:right w:val="single" w:sz="4" w:space="0" w:color="auto"/>
            </w:tcBorders>
          </w:tcPr>
          <w:p w14:paraId="34A2A43F" w14:textId="77777777" w:rsidR="00670ACB" w:rsidRPr="002C15C0" w:rsidRDefault="00670ACB" w:rsidP="002C1F3D">
            <w:pPr>
              <w:pStyle w:val="IALABullet1"/>
              <w:numPr>
                <w:ilvl w:val="0"/>
                <w:numId w:val="0"/>
              </w:numPr>
              <w:spacing w:before="60"/>
              <w:rPr>
                <w:rFonts w:cs="Arial"/>
                <w:b w:val="0"/>
                <w:bCs/>
                <w:sz w:val="22"/>
              </w:rPr>
            </w:pPr>
          </w:p>
        </w:tc>
        <w:tc>
          <w:tcPr>
            <w:tcW w:w="1391" w:type="dxa"/>
            <w:tcBorders>
              <w:left w:val="single" w:sz="4" w:space="0" w:color="auto"/>
            </w:tcBorders>
          </w:tcPr>
          <w:p w14:paraId="5E83DEF3" w14:textId="77777777" w:rsidR="00670ACB" w:rsidRPr="002C15C0" w:rsidRDefault="00670ACB" w:rsidP="00670ACB">
            <w:pPr>
              <w:pStyle w:val="Tabletext"/>
            </w:pPr>
            <w:r w:rsidRPr="002C15C0">
              <w:t>Horizontal (metres)</w:t>
            </w:r>
          </w:p>
        </w:tc>
        <w:tc>
          <w:tcPr>
            <w:tcW w:w="1247" w:type="dxa"/>
          </w:tcPr>
          <w:p w14:paraId="040CF6DC" w14:textId="77777777" w:rsidR="00670ACB" w:rsidRPr="002C15C0" w:rsidRDefault="00670ACB" w:rsidP="00670ACB">
            <w:pPr>
              <w:pStyle w:val="Tabletext"/>
            </w:pPr>
            <w:r w:rsidRPr="002C15C0">
              <w:t>Alert limit (metres)</w:t>
            </w:r>
          </w:p>
        </w:tc>
        <w:tc>
          <w:tcPr>
            <w:tcW w:w="1666" w:type="dxa"/>
          </w:tcPr>
          <w:p w14:paraId="0066FC97" w14:textId="77777777" w:rsidR="00670ACB" w:rsidRPr="002C15C0" w:rsidRDefault="00670ACB" w:rsidP="00670ACB">
            <w:pPr>
              <w:pStyle w:val="Tabletext"/>
            </w:pPr>
            <w:r w:rsidRPr="002C15C0">
              <w:t>Time to Alarm</w:t>
            </w:r>
            <w:r w:rsidRPr="002C15C0">
              <w:rPr>
                <w:vertAlign w:val="superscript"/>
              </w:rPr>
              <w:t>2</w:t>
            </w:r>
            <w:r w:rsidRPr="002C15C0">
              <w:t xml:space="preserve"> (seconds)</w:t>
            </w:r>
          </w:p>
        </w:tc>
        <w:tc>
          <w:tcPr>
            <w:tcW w:w="1474" w:type="dxa"/>
          </w:tcPr>
          <w:p w14:paraId="09F4D5D8" w14:textId="77777777" w:rsidR="00670ACB" w:rsidRPr="002C15C0" w:rsidRDefault="00670ACB" w:rsidP="00670ACB">
            <w:pPr>
              <w:pStyle w:val="Tabletext"/>
            </w:pPr>
            <w:r w:rsidRPr="002C15C0">
              <w:t>Integrity Risk (per 3 hours)</w:t>
            </w:r>
          </w:p>
        </w:tc>
        <w:tc>
          <w:tcPr>
            <w:tcW w:w="1505" w:type="dxa"/>
            <w:vMerge/>
          </w:tcPr>
          <w:p w14:paraId="10BC80A9" w14:textId="77777777" w:rsidR="00670ACB" w:rsidRPr="002C15C0" w:rsidRDefault="00670ACB" w:rsidP="00670ACB">
            <w:pPr>
              <w:pStyle w:val="Tabletext"/>
            </w:pPr>
          </w:p>
        </w:tc>
        <w:tc>
          <w:tcPr>
            <w:tcW w:w="1498" w:type="dxa"/>
            <w:vMerge/>
          </w:tcPr>
          <w:p w14:paraId="2AA0964C" w14:textId="77777777" w:rsidR="00670ACB" w:rsidRPr="002C15C0" w:rsidRDefault="00670ACB" w:rsidP="00670ACB">
            <w:pPr>
              <w:pStyle w:val="Tabletext"/>
            </w:pPr>
          </w:p>
        </w:tc>
        <w:tc>
          <w:tcPr>
            <w:tcW w:w="1335" w:type="dxa"/>
            <w:vMerge/>
          </w:tcPr>
          <w:p w14:paraId="6DB2B411" w14:textId="77777777" w:rsidR="00670ACB" w:rsidRPr="002C15C0" w:rsidRDefault="00670ACB" w:rsidP="00670ACB">
            <w:pPr>
              <w:pStyle w:val="Tabletext"/>
            </w:pPr>
          </w:p>
        </w:tc>
        <w:tc>
          <w:tcPr>
            <w:tcW w:w="1496" w:type="dxa"/>
            <w:vMerge/>
          </w:tcPr>
          <w:p w14:paraId="7BB2D92F" w14:textId="77777777" w:rsidR="00670ACB" w:rsidRPr="002C15C0" w:rsidRDefault="00670ACB" w:rsidP="00670ACB">
            <w:pPr>
              <w:pStyle w:val="Tabletext"/>
            </w:pPr>
          </w:p>
        </w:tc>
      </w:tr>
      <w:tr w:rsidR="00670ACB" w:rsidRPr="002C15C0" w14:paraId="7899A142" w14:textId="77777777" w:rsidTr="002C1F3D">
        <w:trPr>
          <w:jc w:val="center"/>
        </w:trPr>
        <w:tc>
          <w:tcPr>
            <w:tcW w:w="1681" w:type="dxa"/>
            <w:tcBorders>
              <w:top w:val="single" w:sz="4" w:space="0" w:color="auto"/>
            </w:tcBorders>
          </w:tcPr>
          <w:p w14:paraId="7C0A50E1" w14:textId="77777777" w:rsidR="00670ACB" w:rsidRPr="002C15C0" w:rsidRDefault="00670ACB" w:rsidP="00670ACB">
            <w:pPr>
              <w:pStyle w:val="Tabletext"/>
            </w:pPr>
            <w:r w:rsidRPr="002C15C0">
              <w:t>Ocean</w:t>
            </w:r>
          </w:p>
        </w:tc>
        <w:tc>
          <w:tcPr>
            <w:tcW w:w="1391" w:type="dxa"/>
          </w:tcPr>
          <w:p w14:paraId="32CDD38E" w14:textId="77777777" w:rsidR="00670ACB" w:rsidRPr="002C15C0" w:rsidRDefault="00670ACB" w:rsidP="00670ACB">
            <w:pPr>
              <w:pStyle w:val="Tabletext"/>
            </w:pPr>
            <w:r w:rsidRPr="002C15C0">
              <w:t>1000</w:t>
            </w:r>
          </w:p>
        </w:tc>
        <w:tc>
          <w:tcPr>
            <w:tcW w:w="1247" w:type="dxa"/>
          </w:tcPr>
          <w:p w14:paraId="1D39C654" w14:textId="77777777" w:rsidR="00670ACB" w:rsidRPr="002C15C0" w:rsidRDefault="00670ACB" w:rsidP="00670ACB">
            <w:pPr>
              <w:pStyle w:val="Tabletext"/>
            </w:pPr>
            <w:r w:rsidRPr="002C15C0">
              <w:t>2500</w:t>
            </w:r>
          </w:p>
        </w:tc>
        <w:tc>
          <w:tcPr>
            <w:tcW w:w="1666" w:type="dxa"/>
          </w:tcPr>
          <w:p w14:paraId="4C7A52E4" w14:textId="77777777" w:rsidR="00670ACB" w:rsidRPr="002C15C0" w:rsidRDefault="00670ACB" w:rsidP="00670ACB">
            <w:pPr>
              <w:pStyle w:val="Tabletext"/>
            </w:pPr>
            <w:r w:rsidRPr="002C15C0">
              <w:t>60</w:t>
            </w:r>
          </w:p>
        </w:tc>
        <w:tc>
          <w:tcPr>
            <w:tcW w:w="1474" w:type="dxa"/>
          </w:tcPr>
          <w:p w14:paraId="0BCACE85" w14:textId="77777777" w:rsidR="00670ACB" w:rsidRPr="002C15C0" w:rsidRDefault="00670ACB" w:rsidP="00670ACB">
            <w:pPr>
              <w:pStyle w:val="Tabletext"/>
            </w:pPr>
            <w:r w:rsidRPr="002C15C0">
              <w:t>10</w:t>
            </w:r>
            <w:r w:rsidRPr="002C15C0">
              <w:rPr>
                <w:vertAlign w:val="superscript"/>
              </w:rPr>
              <w:t>-4</w:t>
            </w:r>
          </w:p>
        </w:tc>
        <w:tc>
          <w:tcPr>
            <w:tcW w:w="1505" w:type="dxa"/>
          </w:tcPr>
          <w:p w14:paraId="7E61880C" w14:textId="77777777" w:rsidR="00670ACB" w:rsidRPr="002C15C0" w:rsidRDefault="00670ACB" w:rsidP="00670ACB">
            <w:pPr>
              <w:pStyle w:val="Tabletext"/>
            </w:pPr>
            <w:r w:rsidRPr="002C15C0">
              <w:t>99</w:t>
            </w:r>
          </w:p>
        </w:tc>
        <w:tc>
          <w:tcPr>
            <w:tcW w:w="1498" w:type="dxa"/>
          </w:tcPr>
          <w:p w14:paraId="7EAD3C5A" w14:textId="77777777" w:rsidR="00670ACB" w:rsidRPr="002C15C0" w:rsidRDefault="00670ACB" w:rsidP="00670ACB">
            <w:pPr>
              <w:pStyle w:val="Tabletext"/>
            </w:pPr>
            <w:r w:rsidRPr="002C15C0">
              <w:t>N/A</w:t>
            </w:r>
            <w:r w:rsidRPr="002C15C0">
              <w:rPr>
                <w:vertAlign w:val="superscript"/>
              </w:rPr>
              <w:t>2</w:t>
            </w:r>
          </w:p>
        </w:tc>
        <w:tc>
          <w:tcPr>
            <w:tcW w:w="1335" w:type="dxa"/>
          </w:tcPr>
          <w:p w14:paraId="56F13C9C" w14:textId="77777777" w:rsidR="00670ACB" w:rsidRPr="002C15C0" w:rsidRDefault="00670ACB" w:rsidP="00670ACB">
            <w:pPr>
              <w:pStyle w:val="Tabletext"/>
            </w:pPr>
            <w:r w:rsidRPr="002C15C0">
              <w:t>Global</w:t>
            </w:r>
          </w:p>
        </w:tc>
        <w:tc>
          <w:tcPr>
            <w:tcW w:w="1496" w:type="dxa"/>
          </w:tcPr>
          <w:p w14:paraId="7FAF0682" w14:textId="77777777" w:rsidR="00670ACB" w:rsidRPr="002C15C0" w:rsidRDefault="00670ACB" w:rsidP="00670ACB">
            <w:pPr>
              <w:pStyle w:val="Tabletext"/>
            </w:pPr>
            <w:r w:rsidRPr="002C15C0">
              <w:t>60</w:t>
            </w:r>
          </w:p>
        </w:tc>
      </w:tr>
      <w:tr w:rsidR="00670ACB" w:rsidRPr="002C15C0" w14:paraId="12A652E2" w14:textId="77777777" w:rsidTr="002C1F3D">
        <w:trPr>
          <w:jc w:val="center"/>
        </w:trPr>
        <w:tc>
          <w:tcPr>
            <w:tcW w:w="1681" w:type="dxa"/>
          </w:tcPr>
          <w:p w14:paraId="38CC60E1" w14:textId="77777777" w:rsidR="00670ACB" w:rsidRPr="002C15C0" w:rsidRDefault="00670ACB" w:rsidP="00670ACB">
            <w:pPr>
              <w:pStyle w:val="Tabletext"/>
            </w:pPr>
            <w:r w:rsidRPr="002C15C0">
              <w:t>Coastal</w:t>
            </w:r>
          </w:p>
        </w:tc>
        <w:tc>
          <w:tcPr>
            <w:tcW w:w="1391" w:type="dxa"/>
          </w:tcPr>
          <w:p w14:paraId="13AD73FA" w14:textId="77777777" w:rsidR="00670ACB" w:rsidRPr="002C15C0" w:rsidRDefault="00670ACB" w:rsidP="00670ACB">
            <w:pPr>
              <w:pStyle w:val="Tabletext"/>
            </w:pPr>
            <w:r w:rsidRPr="002C15C0">
              <w:t>100</w:t>
            </w:r>
          </w:p>
        </w:tc>
        <w:tc>
          <w:tcPr>
            <w:tcW w:w="1247" w:type="dxa"/>
          </w:tcPr>
          <w:p w14:paraId="0047084E" w14:textId="77777777" w:rsidR="00670ACB" w:rsidRPr="002C15C0" w:rsidRDefault="00670ACB" w:rsidP="00670ACB">
            <w:pPr>
              <w:pStyle w:val="Tabletext"/>
            </w:pPr>
            <w:r w:rsidRPr="002C15C0">
              <w:t>250</w:t>
            </w:r>
          </w:p>
        </w:tc>
        <w:tc>
          <w:tcPr>
            <w:tcW w:w="1666" w:type="dxa"/>
          </w:tcPr>
          <w:p w14:paraId="40163A94" w14:textId="77777777" w:rsidR="00670ACB" w:rsidRPr="002C15C0" w:rsidRDefault="00670ACB" w:rsidP="00670ACB">
            <w:pPr>
              <w:pStyle w:val="Tabletext"/>
            </w:pPr>
            <w:r w:rsidRPr="002C15C0">
              <w:t>30</w:t>
            </w:r>
          </w:p>
        </w:tc>
        <w:tc>
          <w:tcPr>
            <w:tcW w:w="1474" w:type="dxa"/>
          </w:tcPr>
          <w:p w14:paraId="2FD219FB" w14:textId="77777777" w:rsidR="00670ACB" w:rsidRPr="002C15C0" w:rsidRDefault="00670ACB" w:rsidP="00670ACB">
            <w:pPr>
              <w:pStyle w:val="Tabletext"/>
            </w:pPr>
            <w:r w:rsidRPr="002C15C0">
              <w:t>10</w:t>
            </w:r>
            <w:r w:rsidRPr="002C15C0">
              <w:rPr>
                <w:vertAlign w:val="superscript"/>
              </w:rPr>
              <w:t>-4</w:t>
            </w:r>
          </w:p>
        </w:tc>
        <w:tc>
          <w:tcPr>
            <w:tcW w:w="1505" w:type="dxa"/>
          </w:tcPr>
          <w:p w14:paraId="2A3B8EB9" w14:textId="77777777" w:rsidR="00670ACB" w:rsidRPr="002C15C0" w:rsidRDefault="00670ACB" w:rsidP="00670ACB">
            <w:pPr>
              <w:pStyle w:val="Tabletext"/>
            </w:pPr>
            <w:r w:rsidRPr="002C15C0">
              <w:t>99</w:t>
            </w:r>
          </w:p>
        </w:tc>
        <w:tc>
          <w:tcPr>
            <w:tcW w:w="1498" w:type="dxa"/>
          </w:tcPr>
          <w:p w14:paraId="49DF0F32" w14:textId="77777777" w:rsidR="00670ACB" w:rsidRPr="002C15C0" w:rsidRDefault="00670ACB" w:rsidP="00670ACB">
            <w:pPr>
              <w:pStyle w:val="Tabletext"/>
            </w:pPr>
            <w:r w:rsidRPr="002C15C0">
              <w:t>N/A</w:t>
            </w:r>
            <w:r w:rsidRPr="002C15C0">
              <w:rPr>
                <w:vertAlign w:val="superscript"/>
              </w:rPr>
              <w:t>2</w:t>
            </w:r>
          </w:p>
        </w:tc>
        <w:tc>
          <w:tcPr>
            <w:tcW w:w="1335" w:type="dxa"/>
          </w:tcPr>
          <w:p w14:paraId="0D56CFA7" w14:textId="77777777" w:rsidR="00670ACB" w:rsidRPr="002C15C0" w:rsidRDefault="00670ACB" w:rsidP="00670ACB">
            <w:pPr>
              <w:pStyle w:val="Tabletext"/>
            </w:pPr>
            <w:r w:rsidRPr="002C15C0">
              <w:t>Regional</w:t>
            </w:r>
          </w:p>
        </w:tc>
        <w:tc>
          <w:tcPr>
            <w:tcW w:w="1496" w:type="dxa"/>
          </w:tcPr>
          <w:p w14:paraId="5668EF04" w14:textId="77777777" w:rsidR="00670ACB" w:rsidRPr="002C15C0" w:rsidRDefault="00670ACB" w:rsidP="00670ACB">
            <w:pPr>
              <w:pStyle w:val="Tabletext"/>
            </w:pPr>
            <w:r w:rsidRPr="002C15C0">
              <w:t>15</w:t>
            </w:r>
          </w:p>
        </w:tc>
      </w:tr>
      <w:tr w:rsidR="00670ACB" w:rsidRPr="002C15C0" w14:paraId="6AC9B9C7" w14:textId="77777777" w:rsidTr="002C1F3D">
        <w:trPr>
          <w:trHeight w:val="435"/>
          <w:jc w:val="center"/>
        </w:trPr>
        <w:tc>
          <w:tcPr>
            <w:tcW w:w="1681" w:type="dxa"/>
          </w:tcPr>
          <w:p w14:paraId="11C66732" w14:textId="77777777" w:rsidR="00670ACB" w:rsidRPr="002C15C0" w:rsidRDefault="00670ACB" w:rsidP="00670ACB">
            <w:pPr>
              <w:pStyle w:val="Tabletext"/>
            </w:pPr>
            <w:r w:rsidRPr="002C15C0">
              <w:t>Port approach and restricted waters</w:t>
            </w:r>
          </w:p>
        </w:tc>
        <w:tc>
          <w:tcPr>
            <w:tcW w:w="1391" w:type="dxa"/>
          </w:tcPr>
          <w:p w14:paraId="03719A65" w14:textId="77777777" w:rsidR="00670ACB" w:rsidRPr="002C15C0" w:rsidRDefault="00670ACB" w:rsidP="00670ACB">
            <w:pPr>
              <w:pStyle w:val="Tabletext"/>
            </w:pPr>
            <w:r w:rsidRPr="002C15C0">
              <w:t>10</w:t>
            </w:r>
          </w:p>
        </w:tc>
        <w:tc>
          <w:tcPr>
            <w:tcW w:w="1247" w:type="dxa"/>
          </w:tcPr>
          <w:p w14:paraId="383CD521" w14:textId="77777777" w:rsidR="00670ACB" w:rsidRPr="002C15C0" w:rsidRDefault="00670ACB" w:rsidP="00670ACB">
            <w:pPr>
              <w:pStyle w:val="Tabletext"/>
            </w:pPr>
            <w:r w:rsidRPr="002C15C0">
              <w:t>25</w:t>
            </w:r>
          </w:p>
        </w:tc>
        <w:tc>
          <w:tcPr>
            <w:tcW w:w="1666" w:type="dxa"/>
          </w:tcPr>
          <w:p w14:paraId="10C934EC" w14:textId="77777777" w:rsidR="00670ACB" w:rsidRPr="002C15C0" w:rsidRDefault="00670ACB" w:rsidP="00670ACB">
            <w:pPr>
              <w:pStyle w:val="Tabletext"/>
            </w:pPr>
            <w:r w:rsidRPr="002C15C0">
              <w:t>10</w:t>
            </w:r>
          </w:p>
        </w:tc>
        <w:tc>
          <w:tcPr>
            <w:tcW w:w="1474" w:type="dxa"/>
          </w:tcPr>
          <w:p w14:paraId="120004B9" w14:textId="77777777" w:rsidR="00670ACB" w:rsidRPr="002C15C0" w:rsidRDefault="00670ACB" w:rsidP="00670ACB">
            <w:pPr>
              <w:pStyle w:val="Tabletext"/>
            </w:pPr>
            <w:r w:rsidRPr="002C15C0">
              <w:t>10</w:t>
            </w:r>
            <w:r w:rsidRPr="002C15C0">
              <w:rPr>
                <w:vertAlign w:val="superscript"/>
              </w:rPr>
              <w:t>-4</w:t>
            </w:r>
          </w:p>
        </w:tc>
        <w:tc>
          <w:tcPr>
            <w:tcW w:w="1505" w:type="dxa"/>
          </w:tcPr>
          <w:p w14:paraId="25C1EF85" w14:textId="77777777" w:rsidR="00670ACB" w:rsidRPr="002C15C0" w:rsidRDefault="00670ACB" w:rsidP="00670ACB">
            <w:pPr>
              <w:pStyle w:val="Tabletext"/>
            </w:pPr>
            <w:r w:rsidRPr="002C15C0">
              <w:t>99</w:t>
            </w:r>
          </w:p>
        </w:tc>
        <w:tc>
          <w:tcPr>
            <w:tcW w:w="1498" w:type="dxa"/>
          </w:tcPr>
          <w:p w14:paraId="1C0E91A4" w14:textId="77777777" w:rsidR="00670ACB" w:rsidRPr="002C15C0" w:rsidRDefault="00670ACB" w:rsidP="00670ACB">
            <w:pPr>
              <w:pStyle w:val="Tabletext"/>
            </w:pPr>
            <w:r w:rsidRPr="002C15C0">
              <w:t>99.97</w:t>
            </w:r>
          </w:p>
        </w:tc>
        <w:tc>
          <w:tcPr>
            <w:tcW w:w="1335" w:type="dxa"/>
          </w:tcPr>
          <w:p w14:paraId="75F60FA0" w14:textId="77777777" w:rsidR="00670ACB" w:rsidRPr="002C15C0" w:rsidRDefault="00670ACB" w:rsidP="00670ACB">
            <w:pPr>
              <w:pStyle w:val="Tabletext"/>
            </w:pPr>
            <w:r w:rsidRPr="002C15C0">
              <w:t>Regional</w:t>
            </w:r>
          </w:p>
        </w:tc>
        <w:tc>
          <w:tcPr>
            <w:tcW w:w="1496" w:type="dxa"/>
          </w:tcPr>
          <w:p w14:paraId="7BC25F2A" w14:textId="77777777" w:rsidR="00670ACB" w:rsidRPr="002C15C0" w:rsidRDefault="00670ACB" w:rsidP="00670ACB">
            <w:pPr>
              <w:pStyle w:val="Tabletext"/>
            </w:pPr>
            <w:r w:rsidRPr="002C15C0">
              <w:t>2</w:t>
            </w:r>
          </w:p>
        </w:tc>
      </w:tr>
      <w:tr w:rsidR="00670ACB" w:rsidRPr="002C15C0" w14:paraId="7DDC8BBE" w14:textId="77777777" w:rsidTr="002C1F3D">
        <w:trPr>
          <w:jc w:val="center"/>
        </w:trPr>
        <w:tc>
          <w:tcPr>
            <w:tcW w:w="1681" w:type="dxa"/>
          </w:tcPr>
          <w:p w14:paraId="57E8FA4F" w14:textId="77777777" w:rsidR="00670ACB" w:rsidRPr="002C15C0" w:rsidRDefault="00670ACB" w:rsidP="00670ACB">
            <w:pPr>
              <w:pStyle w:val="Tabletext"/>
            </w:pPr>
            <w:r w:rsidRPr="002C15C0">
              <w:t>Port</w:t>
            </w:r>
          </w:p>
        </w:tc>
        <w:tc>
          <w:tcPr>
            <w:tcW w:w="1391" w:type="dxa"/>
          </w:tcPr>
          <w:p w14:paraId="1FD77BA6" w14:textId="77777777" w:rsidR="00670ACB" w:rsidRPr="002C15C0" w:rsidRDefault="00670ACB" w:rsidP="00670ACB">
            <w:pPr>
              <w:pStyle w:val="Tabletext"/>
            </w:pPr>
            <w:r w:rsidRPr="002C15C0">
              <w:t>1</w:t>
            </w:r>
          </w:p>
        </w:tc>
        <w:tc>
          <w:tcPr>
            <w:tcW w:w="1247" w:type="dxa"/>
          </w:tcPr>
          <w:p w14:paraId="28AF45B4" w14:textId="77777777" w:rsidR="00670ACB" w:rsidRPr="002C15C0" w:rsidRDefault="00670ACB" w:rsidP="00670ACB">
            <w:pPr>
              <w:pStyle w:val="Tabletext"/>
            </w:pPr>
            <w:r w:rsidRPr="002C15C0">
              <w:t>2.5</w:t>
            </w:r>
          </w:p>
        </w:tc>
        <w:tc>
          <w:tcPr>
            <w:tcW w:w="1666" w:type="dxa"/>
          </w:tcPr>
          <w:p w14:paraId="6711DF48" w14:textId="77777777" w:rsidR="00670ACB" w:rsidRPr="002C15C0" w:rsidRDefault="00670ACB" w:rsidP="00670ACB">
            <w:pPr>
              <w:pStyle w:val="Tabletext"/>
            </w:pPr>
            <w:r w:rsidRPr="002C15C0">
              <w:t>10</w:t>
            </w:r>
          </w:p>
        </w:tc>
        <w:tc>
          <w:tcPr>
            <w:tcW w:w="1474" w:type="dxa"/>
          </w:tcPr>
          <w:p w14:paraId="33AFC5A4" w14:textId="77777777" w:rsidR="00670ACB" w:rsidRPr="002C15C0" w:rsidRDefault="00670ACB" w:rsidP="00670ACB">
            <w:pPr>
              <w:pStyle w:val="Tabletext"/>
            </w:pPr>
            <w:r w:rsidRPr="002C15C0">
              <w:t>10</w:t>
            </w:r>
            <w:r w:rsidRPr="002C15C0">
              <w:rPr>
                <w:vertAlign w:val="superscript"/>
              </w:rPr>
              <w:t>-4</w:t>
            </w:r>
          </w:p>
        </w:tc>
        <w:tc>
          <w:tcPr>
            <w:tcW w:w="1505" w:type="dxa"/>
          </w:tcPr>
          <w:p w14:paraId="793E0169" w14:textId="77777777" w:rsidR="00670ACB" w:rsidRPr="002C15C0" w:rsidRDefault="00670ACB" w:rsidP="00670ACB">
            <w:pPr>
              <w:pStyle w:val="Tabletext"/>
            </w:pPr>
            <w:r w:rsidRPr="002C15C0">
              <w:t>99</w:t>
            </w:r>
          </w:p>
        </w:tc>
        <w:tc>
          <w:tcPr>
            <w:tcW w:w="1498" w:type="dxa"/>
          </w:tcPr>
          <w:p w14:paraId="5AC91B5E" w14:textId="77777777" w:rsidR="00670ACB" w:rsidRPr="002C15C0" w:rsidRDefault="00670ACB" w:rsidP="00670ACB">
            <w:pPr>
              <w:pStyle w:val="Tabletext"/>
            </w:pPr>
            <w:r w:rsidRPr="002C15C0">
              <w:t>99.97</w:t>
            </w:r>
          </w:p>
        </w:tc>
        <w:tc>
          <w:tcPr>
            <w:tcW w:w="1335" w:type="dxa"/>
          </w:tcPr>
          <w:p w14:paraId="702BD9A9" w14:textId="77777777" w:rsidR="00670ACB" w:rsidRPr="002C15C0" w:rsidRDefault="00670ACB" w:rsidP="00670ACB">
            <w:pPr>
              <w:pStyle w:val="Tabletext"/>
            </w:pPr>
            <w:r w:rsidRPr="002C15C0">
              <w:t>Local</w:t>
            </w:r>
          </w:p>
        </w:tc>
        <w:tc>
          <w:tcPr>
            <w:tcW w:w="1496" w:type="dxa"/>
          </w:tcPr>
          <w:p w14:paraId="5D4A138A" w14:textId="77777777" w:rsidR="00670ACB" w:rsidRPr="002C15C0" w:rsidRDefault="00670ACB" w:rsidP="00670ACB">
            <w:pPr>
              <w:pStyle w:val="Tabletext"/>
            </w:pPr>
            <w:r w:rsidRPr="002C15C0">
              <w:t>1</w:t>
            </w:r>
          </w:p>
        </w:tc>
      </w:tr>
      <w:tr w:rsidR="00670ACB" w:rsidRPr="002C15C0" w14:paraId="1023F83B" w14:textId="77777777" w:rsidTr="002C1F3D">
        <w:trPr>
          <w:jc w:val="center"/>
        </w:trPr>
        <w:tc>
          <w:tcPr>
            <w:tcW w:w="1681" w:type="dxa"/>
          </w:tcPr>
          <w:p w14:paraId="10E9E679" w14:textId="77777777" w:rsidR="00670ACB" w:rsidRPr="002C15C0" w:rsidRDefault="00670ACB" w:rsidP="00670ACB">
            <w:pPr>
              <w:pStyle w:val="Tabletext"/>
            </w:pPr>
            <w:r w:rsidRPr="002C15C0">
              <w:t>Inland Waterways</w:t>
            </w:r>
          </w:p>
        </w:tc>
        <w:tc>
          <w:tcPr>
            <w:tcW w:w="1391" w:type="dxa"/>
          </w:tcPr>
          <w:p w14:paraId="783B598A" w14:textId="77777777" w:rsidR="00670ACB" w:rsidRPr="002C15C0" w:rsidRDefault="00670ACB" w:rsidP="00670ACB">
            <w:pPr>
              <w:pStyle w:val="Tabletext"/>
            </w:pPr>
            <w:r w:rsidRPr="002C15C0">
              <w:t>10</w:t>
            </w:r>
          </w:p>
        </w:tc>
        <w:tc>
          <w:tcPr>
            <w:tcW w:w="1247" w:type="dxa"/>
          </w:tcPr>
          <w:p w14:paraId="17E6FC12" w14:textId="77777777" w:rsidR="00670ACB" w:rsidRPr="002C15C0" w:rsidRDefault="00670ACB" w:rsidP="00670ACB">
            <w:pPr>
              <w:pStyle w:val="Tabletext"/>
            </w:pPr>
            <w:r w:rsidRPr="002C15C0">
              <w:t>25</w:t>
            </w:r>
          </w:p>
        </w:tc>
        <w:tc>
          <w:tcPr>
            <w:tcW w:w="1666" w:type="dxa"/>
          </w:tcPr>
          <w:p w14:paraId="1360F89D" w14:textId="77777777" w:rsidR="00670ACB" w:rsidRPr="002C15C0" w:rsidRDefault="00670ACB" w:rsidP="00670ACB">
            <w:pPr>
              <w:pStyle w:val="Tabletext"/>
            </w:pPr>
            <w:r w:rsidRPr="002C15C0">
              <w:t>10</w:t>
            </w:r>
          </w:p>
        </w:tc>
        <w:tc>
          <w:tcPr>
            <w:tcW w:w="1474" w:type="dxa"/>
          </w:tcPr>
          <w:p w14:paraId="0A2E49BF" w14:textId="77777777" w:rsidR="00670ACB" w:rsidRPr="002C15C0" w:rsidRDefault="00670ACB" w:rsidP="00670ACB">
            <w:pPr>
              <w:pStyle w:val="Tabletext"/>
            </w:pPr>
            <w:r w:rsidRPr="002C15C0">
              <w:t>10</w:t>
            </w:r>
            <w:r w:rsidRPr="002C15C0">
              <w:rPr>
                <w:vertAlign w:val="superscript"/>
              </w:rPr>
              <w:t>-4</w:t>
            </w:r>
          </w:p>
        </w:tc>
        <w:tc>
          <w:tcPr>
            <w:tcW w:w="1505" w:type="dxa"/>
          </w:tcPr>
          <w:p w14:paraId="2CCFEC65" w14:textId="77777777" w:rsidR="00670ACB" w:rsidRPr="002C15C0" w:rsidRDefault="00670ACB" w:rsidP="00670ACB">
            <w:pPr>
              <w:pStyle w:val="Tabletext"/>
            </w:pPr>
            <w:r w:rsidRPr="002C15C0">
              <w:t>99</w:t>
            </w:r>
          </w:p>
        </w:tc>
        <w:tc>
          <w:tcPr>
            <w:tcW w:w="1498" w:type="dxa"/>
          </w:tcPr>
          <w:p w14:paraId="3FACA786" w14:textId="77777777" w:rsidR="00670ACB" w:rsidRPr="002C15C0" w:rsidRDefault="00670ACB" w:rsidP="00670ACB">
            <w:pPr>
              <w:pStyle w:val="Tabletext"/>
            </w:pPr>
            <w:r w:rsidRPr="002C15C0">
              <w:t>99.97</w:t>
            </w:r>
          </w:p>
        </w:tc>
        <w:tc>
          <w:tcPr>
            <w:tcW w:w="1335" w:type="dxa"/>
          </w:tcPr>
          <w:p w14:paraId="5DA3886F" w14:textId="77777777" w:rsidR="00670ACB" w:rsidRPr="002C15C0" w:rsidRDefault="00670ACB" w:rsidP="00670ACB">
            <w:pPr>
              <w:pStyle w:val="Tabletext"/>
            </w:pPr>
            <w:r w:rsidRPr="002C15C0">
              <w:t>Regional</w:t>
            </w:r>
          </w:p>
        </w:tc>
        <w:tc>
          <w:tcPr>
            <w:tcW w:w="1496" w:type="dxa"/>
          </w:tcPr>
          <w:p w14:paraId="65B5F279" w14:textId="77777777" w:rsidR="00670ACB" w:rsidRPr="002C15C0" w:rsidRDefault="00670ACB" w:rsidP="00670ACB">
            <w:pPr>
              <w:pStyle w:val="Tabletext"/>
            </w:pPr>
            <w:r w:rsidRPr="002C15C0">
              <w:t>2</w:t>
            </w:r>
          </w:p>
        </w:tc>
      </w:tr>
    </w:tbl>
    <w:p w14:paraId="28B97253" w14:textId="77777777" w:rsidR="00670ACB" w:rsidRPr="002C15C0" w:rsidRDefault="00670ACB" w:rsidP="00670ACB">
      <w:pPr>
        <w:pStyle w:val="BodyText"/>
        <w:rPr>
          <w:b/>
        </w:rPr>
      </w:pPr>
      <w:r w:rsidRPr="002C15C0">
        <w:rPr>
          <w:b/>
          <w:color w:val="427EC9"/>
        </w:rPr>
        <w:t>Notes:</w:t>
      </w:r>
    </w:p>
    <w:p w14:paraId="5927ED1E" w14:textId="20739D32" w:rsidR="00670ACB" w:rsidRPr="002C15C0" w:rsidRDefault="00670ACB" w:rsidP="00670ACB">
      <w:pPr>
        <w:pStyle w:val="List1"/>
        <w:numPr>
          <w:ilvl w:val="0"/>
          <w:numId w:val="50"/>
        </w:numPr>
      </w:pPr>
      <w:r w:rsidRPr="002C15C0">
        <w:t>This table is derived from IMO Resolution A.915(22).</w:t>
      </w:r>
    </w:p>
    <w:p w14:paraId="6BC08A9C" w14:textId="70B7ED8F" w:rsidR="00670ACB" w:rsidRPr="002C15C0" w:rsidRDefault="00670ACB" w:rsidP="00670ACB">
      <w:pPr>
        <w:pStyle w:val="List1"/>
      </w:pPr>
      <w:r w:rsidRPr="002C15C0">
        <w:t>Continuity is not relevant to ocean and coastal navigation.</w:t>
      </w:r>
    </w:p>
    <w:p w14:paraId="54928665" w14:textId="6BAF5D62" w:rsidR="00670ACB" w:rsidRPr="002C15C0" w:rsidRDefault="00670ACB" w:rsidP="00670ACB">
      <w:pPr>
        <w:pStyle w:val="List1"/>
      </w:pPr>
      <w:r w:rsidRPr="002C15C0">
        <w:t>IMO Resolution A.1046(27) amended the Continuity Time Interval to 15 minutes, rather than 3 hours as originally required in IMO Resolution A.915(22).</w:t>
      </w:r>
    </w:p>
    <w:p w14:paraId="143AB71F" w14:textId="3E2ECEBD" w:rsidR="00670ACB" w:rsidRPr="002C15C0" w:rsidRDefault="00670ACB" w:rsidP="00670ACB">
      <w:pPr>
        <w:pStyle w:val="List1"/>
      </w:pPr>
      <w:r w:rsidRPr="002C15C0">
        <w:t xml:space="preserve">This table should be read in conjunction with </w:t>
      </w:r>
      <w:commentRangeStart w:id="54"/>
      <w:r w:rsidR="006B6C5C" w:rsidRPr="002C15C0">
        <w:t>sections</w:t>
      </w:r>
      <w:commentRangeEnd w:id="54"/>
      <w:r w:rsidR="006B6C5C" w:rsidRPr="002C15C0">
        <w:rPr>
          <w:rStyle w:val="CommentReference"/>
          <w:rFonts w:eastAsiaTheme="minorHAnsi" w:cstheme="minorBidi"/>
          <w:lang w:eastAsia="en-US"/>
        </w:rPr>
        <w:commentReference w:id="54"/>
      </w:r>
      <w:r w:rsidRPr="002C15C0">
        <w:t xml:space="preserve"> </w:t>
      </w:r>
      <w:r w:rsidR="006B6C5C" w:rsidRPr="002C15C0">
        <w:fldChar w:fldCharType="begin"/>
      </w:r>
      <w:r w:rsidR="006B6C5C" w:rsidRPr="002C15C0">
        <w:instrText xml:space="preserve"> REF _Ref467060940 \r \h </w:instrText>
      </w:r>
      <w:r w:rsidR="006B6C5C" w:rsidRPr="002C15C0">
        <w:fldChar w:fldCharType="separate"/>
      </w:r>
      <w:r w:rsidR="006B6C5C" w:rsidRPr="002C15C0">
        <w:t>2.1</w:t>
      </w:r>
      <w:r w:rsidR="006B6C5C" w:rsidRPr="002C15C0">
        <w:fldChar w:fldCharType="end"/>
      </w:r>
      <w:r w:rsidRPr="002C15C0">
        <w:t xml:space="preserve"> and </w:t>
      </w:r>
      <w:r w:rsidR="006B6C5C" w:rsidRPr="002C15C0">
        <w:fldChar w:fldCharType="begin"/>
      </w:r>
      <w:r w:rsidR="006B6C5C" w:rsidRPr="002C15C0">
        <w:instrText xml:space="preserve"> REF _Ref467059855 \r \h </w:instrText>
      </w:r>
      <w:r w:rsidR="006B6C5C" w:rsidRPr="002C15C0">
        <w:fldChar w:fldCharType="separate"/>
      </w:r>
      <w:r w:rsidR="006B6C5C" w:rsidRPr="002C15C0">
        <w:t>2.2</w:t>
      </w:r>
      <w:r w:rsidR="006B6C5C" w:rsidRPr="002C15C0">
        <w:fldChar w:fldCharType="end"/>
      </w:r>
      <w:r w:rsidRPr="002C15C0">
        <w:t xml:space="preserve">.  Although these are suggested minimum requirements, a Risk Assessment will include many variables that may alter the minimum requirements. </w:t>
      </w:r>
      <w:r w:rsidR="00275283" w:rsidRPr="002C15C0">
        <w:t xml:space="preserve"> </w:t>
      </w:r>
      <w:r w:rsidRPr="002C15C0">
        <w:t xml:space="preserve">Refer to IALA Guideline </w:t>
      </w:r>
      <w:r w:rsidR="00275283" w:rsidRPr="002C15C0">
        <w:t xml:space="preserve">1033 </w:t>
      </w:r>
      <w:r w:rsidRPr="002C15C0">
        <w:t>on the Provision of Aids to Navigation for Different Classes of Vessels, including High Speed Craft, December 2003 for details of the variables of different waterways, ships and environments.</w:t>
      </w:r>
    </w:p>
    <w:p w14:paraId="3ACCD6A4" w14:textId="7A98015F" w:rsidR="0042565E" w:rsidRPr="002C15C0" w:rsidRDefault="0042565E" w:rsidP="00670ACB">
      <w:pPr>
        <w:pStyle w:val="AnnexBHead1"/>
        <w:numPr>
          <w:ilvl w:val="0"/>
          <w:numId w:val="0"/>
        </w:numPr>
        <w:ind w:left="709" w:hanging="709"/>
      </w:pPr>
    </w:p>
    <w:sectPr w:rsidR="0042565E" w:rsidRPr="002C15C0" w:rsidSect="0042565E">
      <w:headerReference w:type="default" r:id="rId22"/>
      <w:footerReference w:type="default" r:id="rId23"/>
      <w:pgSz w:w="16838" w:h="11906" w:orient="landscape" w:code="9"/>
      <w:pgMar w:top="907" w:right="567" w:bottom="794" w:left="1134"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3-15T14:53:00Z" w:initials="MH">
    <w:p w14:paraId="0FEF3B49" w14:textId="77777777" w:rsidR="002C1F3D" w:rsidRDefault="002C1F3D">
      <w:pPr>
        <w:pStyle w:val="CommentText"/>
      </w:pPr>
      <w:r>
        <w:rPr>
          <w:rStyle w:val="CommentReference"/>
        </w:rPr>
        <w:annotationRef/>
      </w:r>
      <w:r>
        <w:t>Insert date approved by Council (Month &amp; Year)</w:t>
      </w:r>
    </w:p>
  </w:comment>
  <w:comment w:id="4" w:author="Michael Hadley" w:date="2016-05-08T11:14:00Z" w:initials="MH">
    <w:p w14:paraId="67C20AE7" w14:textId="77777777" w:rsidR="002C1F3D" w:rsidRDefault="002C1F3D" w:rsidP="00795637">
      <w:pPr>
        <w:pStyle w:val="CommentText"/>
      </w:pPr>
      <w:r>
        <w:rPr>
          <w:rStyle w:val="CommentReference"/>
        </w:rPr>
        <w:annotationRef/>
      </w:r>
      <w:r>
        <w:t>All IALA documents are to be in UK English.</w:t>
      </w:r>
    </w:p>
    <w:p w14:paraId="1A292047" w14:textId="77777777" w:rsidR="002C1F3D" w:rsidRDefault="002C1F3D" w:rsidP="00795637">
      <w:pPr>
        <w:pStyle w:val="CommentText"/>
      </w:pPr>
      <w:r>
        <w:t>No additional styles are to be introduced without approval from IALA (p.o.c. Mme Marie-Hèléne Grillet (</w:t>
      </w:r>
      <w:hyperlink r:id="rId1" w:history="1">
        <w:r w:rsidRPr="00D8388E">
          <w:rPr>
            <w:rStyle w:val="Hyperlink"/>
            <w:rFonts w:ascii="Arial" w:hAnsi="Arial" w:cs="Arial"/>
            <w:lang w:val="en-US"/>
          </w:rPr>
          <w:t>marie-helene.grillet@iala-aism.org</w:t>
        </w:r>
      </w:hyperlink>
      <w:r>
        <w:t>))</w:t>
      </w:r>
    </w:p>
  </w:comment>
  <w:comment w:id="16" w:author="Michael Hadley" w:date="2017-02-07T14:39:00Z" w:initials="MH">
    <w:p w14:paraId="75F97C01" w14:textId="346C7F7F" w:rsidR="00A70D98" w:rsidRDefault="00A70D98">
      <w:pPr>
        <w:pStyle w:val="CommentText"/>
      </w:pPr>
      <w:r>
        <w:rPr>
          <w:rStyle w:val="CommentReference"/>
        </w:rPr>
        <w:annotationRef/>
      </w:r>
      <w:r>
        <w:t>Should this text be deleted or amended as it now appears in the Recommentation?</w:t>
      </w:r>
    </w:p>
  </w:comment>
  <w:comment w:id="25" w:author="Michael Hadley" w:date="2016-11-16T13:45:00Z" w:initials="MH">
    <w:p w14:paraId="201A4D3C" w14:textId="41F994D6" w:rsidR="000E4A56" w:rsidRDefault="000E4A56">
      <w:pPr>
        <w:pStyle w:val="CommentText"/>
      </w:pPr>
      <w:r>
        <w:rPr>
          <w:rStyle w:val="CommentReference"/>
        </w:rPr>
        <w:annotationRef/>
      </w:r>
      <w:r>
        <w:t>Can this be referenced?</w:t>
      </w:r>
    </w:p>
  </w:comment>
  <w:comment w:id="53" w:author="Michael Hadley" w:date="2016-11-16T12:05:00Z" w:initials="MH">
    <w:p w14:paraId="12D93D9F" w14:textId="17072E6D" w:rsidR="002C1F3D" w:rsidRDefault="002C1F3D">
      <w:pPr>
        <w:pStyle w:val="CommentText"/>
      </w:pPr>
      <w:r>
        <w:rPr>
          <w:rStyle w:val="CommentReference"/>
        </w:rPr>
        <w:annotationRef/>
      </w:r>
      <w:r>
        <w:t>The Table title could replace Note 1.</w:t>
      </w:r>
    </w:p>
  </w:comment>
  <w:comment w:id="54" w:author="Michael Hadley" w:date="2016-11-16T12:01:00Z" w:initials="MH">
    <w:p w14:paraId="00A75000" w14:textId="0C8D9C0C" w:rsidR="002C1F3D" w:rsidRDefault="002C1F3D">
      <w:pPr>
        <w:pStyle w:val="CommentText"/>
      </w:pPr>
      <w:r>
        <w:rPr>
          <w:rStyle w:val="CommentReference"/>
        </w:rPr>
        <w:annotationRef/>
      </w:r>
      <w:r>
        <w:t>Please validate references.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EF3B49" w15:done="0"/>
  <w15:commentEx w15:paraId="1A292047" w15:done="0"/>
  <w15:commentEx w15:paraId="75F97C01" w15:done="0"/>
  <w15:commentEx w15:paraId="201A4D3C" w15:done="0"/>
  <w15:commentEx w15:paraId="12D93D9F" w15:done="0"/>
  <w15:commentEx w15:paraId="00A7500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B5C9FD" w14:textId="77777777" w:rsidR="00E13F72" w:rsidRDefault="00E13F72" w:rsidP="003274DB">
      <w:r>
        <w:separator/>
      </w:r>
    </w:p>
    <w:p w14:paraId="1B12A636" w14:textId="77777777" w:rsidR="00E13F72" w:rsidRDefault="00E13F72"/>
  </w:endnote>
  <w:endnote w:type="continuationSeparator" w:id="0">
    <w:p w14:paraId="683D3C07" w14:textId="77777777" w:rsidR="00E13F72" w:rsidRDefault="00E13F72" w:rsidP="003274DB">
      <w:r>
        <w:continuationSeparator/>
      </w:r>
    </w:p>
    <w:p w14:paraId="1034B9E1" w14:textId="77777777" w:rsidR="00E13F72" w:rsidRDefault="00E13F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10AC5" w14:textId="77777777" w:rsidR="002C1F3D" w:rsidRDefault="002C1F3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56F559" w14:textId="77777777" w:rsidR="002C1F3D" w:rsidRDefault="002C1F3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30EF947" w14:textId="77777777" w:rsidR="002C1F3D" w:rsidRDefault="002C1F3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07DD723" w14:textId="77777777" w:rsidR="002C1F3D" w:rsidRDefault="002C1F3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B3205F" w14:textId="77777777" w:rsidR="002C1F3D" w:rsidRDefault="002C1F3D"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FF95C" w14:textId="77777777" w:rsidR="002C1F3D" w:rsidRPr="00AC24F4" w:rsidRDefault="002C1F3D"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11ADF978" w14:textId="77777777" w:rsidR="002C1F3D" w:rsidRPr="00AC24F4" w:rsidRDefault="002C1F3D" w:rsidP="00910058">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5A48292A" w14:textId="77777777" w:rsidR="002C1F3D" w:rsidRPr="004B6107" w:rsidRDefault="002C1F3D"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1D600F6B" w14:textId="77777777" w:rsidR="002C1F3D" w:rsidRPr="004B6107" w:rsidRDefault="002C1F3D"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93C4993" w14:textId="77777777" w:rsidR="002C1F3D" w:rsidRPr="00910058" w:rsidRDefault="002C1F3D"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IE" w:eastAsia="en-IE"/>
      </w:rPr>
      <mc:AlternateContent>
        <mc:Choice Requires="wps">
          <w:drawing>
            <wp:anchor distT="0" distB="0" distL="114300" distR="114300" simplePos="0" relativeHeight="251669504" behindDoc="0" locked="0" layoutInCell="1" allowOverlap="1" wp14:anchorId="64C977B0" wp14:editId="2001772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FFDFBF4"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7ADFF" w14:textId="77777777" w:rsidR="002C1F3D" w:rsidRDefault="002C1F3D"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16FF020E" wp14:editId="4FFE81D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A91C9C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3B6AF1CB" w14:textId="77777777" w:rsidR="002C1F3D" w:rsidRPr="00C907DF" w:rsidRDefault="002C1F3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10CAD0A4" w14:textId="77777777" w:rsidR="002C1F3D" w:rsidRPr="00525922" w:rsidRDefault="002C1F3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05F19" w14:textId="77777777" w:rsidR="002C1F3D" w:rsidRPr="00C716E5" w:rsidRDefault="002C1F3D" w:rsidP="00C716E5">
    <w:pPr>
      <w:pStyle w:val="Footer"/>
      <w:rPr>
        <w:sz w:val="15"/>
        <w:szCs w:val="15"/>
      </w:rPr>
    </w:pPr>
  </w:p>
  <w:p w14:paraId="61CCFD0D" w14:textId="77777777" w:rsidR="002C1F3D" w:rsidRDefault="002C1F3D" w:rsidP="00C716E5">
    <w:pPr>
      <w:pStyle w:val="Footerportrait"/>
    </w:pPr>
  </w:p>
  <w:p w14:paraId="1014B3B1" w14:textId="77777777" w:rsidR="002C1F3D" w:rsidRPr="00C907DF" w:rsidRDefault="0018219A" w:rsidP="00C716E5">
    <w:pPr>
      <w:pStyle w:val="Footerportrait"/>
      <w:rPr>
        <w:rStyle w:val="PageNumber"/>
        <w:szCs w:val="15"/>
      </w:rPr>
    </w:pPr>
    <w:fldSimple w:instr=" STYLEREF &quot;Document type&quot; \* MERGEFORMAT ">
      <w:r w:rsidR="0026567F">
        <w:t>IALA Guideline</w:t>
      </w:r>
    </w:fldSimple>
    <w:r w:rsidR="002C1F3D" w:rsidRPr="00C907DF">
      <w:t xml:space="preserve"> </w:t>
    </w:r>
    <w:fldSimple w:instr=" STYLEREF &quot;Document number&quot; \* MERGEFORMAT ">
      <w:r w:rsidR="0026567F">
        <w:t>11??</w:t>
      </w:r>
    </w:fldSimple>
    <w:r w:rsidR="002C1F3D" w:rsidRPr="00C907DF">
      <w:t xml:space="preserve"> –</w:t>
    </w:r>
    <w:r w:rsidR="002C1F3D">
      <w:t xml:space="preserve"> </w:t>
    </w:r>
    <w:fldSimple w:instr=" STYLEREF &quot;Document name&quot; \* MERGEFORMAT ">
      <w:r w:rsidR="0026567F">
        <w:t>GNSS Vulnerability and Mitigation Measures</w:t>
      </w:r>
    </w:fldSimple>
  </w:p>
  <w:p w14:paraId="053E4A39" w14:textId="77777777" w:rsidR="002C1F3D" w:rsidRPr="00C907DF" w:rsidRDefault="0018219A" w:rsidP="00C716E5">
    <w:pPr>
      <w:pStyle w:val="Footerportrait"/>
    </w:pPr>
    <w:fldSimple w:instr=" STYLEREF &quot;Edition number&quot; \* MERGEFORMAT ">
      <w:r w:rsidR="0026567F">
        <w:t>Edition 1.0</w:t>
      </w:r>
    </w:fldSimple>
    <w:r w:rsidR="002C1F3D">
      <w:t xml:space="preserve">  </w:t>
    </w:r>
    <w:fldSimple w:instr=" STYLEREF &quot;Document date&quot; \* MERGEFORMAT ">
      <w:r w:rsidR="0026567F">
        <w:t>Document date</w:t>
      </w:r>
    </w:fldSimple>
    <w:r w:rsidR="002C1F3D" w:rsidRPr="00C907DF">
      <w:tab/>
    </w:r>
    <w:r w:rsidR="002C1F3D">
      <w:t xml:space="preserve">P </w:t>
    </w:r>
    <w:r w:rsidR="002C1F3D" w:rsidRPr="00C907DF">
      <w:rPr>
        <w:rStyle w:val="PageNumber"/>
        <w:szCs w:val="15"/>
      </w:rPr>
      <w:fldChar w:fldCharType="begin"/>
    </w:r>
    <w:r w:rsidR="002C1F3D" w:rsidRPr="00C907DF">
      <w:rPr>
        <w:rStyle w:val="PageNumber"/>
        <w:szCs w:val="15"/>
      </w:rPr>
      <w:instrText xml:space="preserve">PAGE  </w:instrText>
    </w:r>
    <w:r w:rsidR="002C1F3D" w:rsidRPr="00C907DF">
      <w:rPr>
        <w:rStyle w:val="PageNumber"/>
        <w:szCs w:val="15"/>
      </w:rPr>
      <w:fldChar w:fldCharType="separate"/>
    </w:r>
    <w:r w:rsidR="0026567F">
      <w:rPr>
        <w:rStyle w:val="PageNumber"/>
        <w:szCs w:val="15"/>
      </w:rPr>
      <w:t>14</w:t>
    </w:r>
    <w:r w:rsidR="002C1F3D"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D8E19" w14:textId="77777777" w:rsidR="002C1F3D" w:rsidRDefault="002C1F3D" w:rsidP="00C716E5">
    <w:pPr>
      <w:pStyle w:val="Footer"/>
    </w:pPr>
  </w:p>
  <w:p w14:paraId="716104CF" w14:textId="77777777" w:rsidR="002C1F3D" w:rsidRDefault="002C1F3D" w:rsidP="00C716E5">
    <w:pPr>
      <w:pStyle w:val="Footerportrait"/>
    </w:pPr>
  </w:p>
  <w:p w14:paraId="32026E17" w14:textId="77777777" w:rsidR="002C1F3D" w:rsidRPr="00C907DF" w:rsidRDefault="0018219A" w:rsidP="00C716E5">
    <w:pPr>
      <w:pStyle w:val="Footerportrait"/>
      <w:rPr>
        <w:rStyle w:val="PageNumber"/>
        <w:szCs w:val="15"/>
      </w:rPr>
    </w:pPr>
    <w:fldSimple w:instr=" STYLEREF &quot;Document type&quot; \* MERGEFORMAT ">
      <w:r w:rsidR="0026567F">
        <w:t>IALA Guideline</w:t>
      </w:r>
    </w:fldSimple>
    <w:r w:rsidR="002C1F3D" w:rsidRPr="00C907DF">
      <w:t xml:space="preserve"> </w:t>
    </w:r>
    <w:fldSimple w:instr=" STYLEREF &quot;Document number&quot; \* MERGEFORMAT ">
      <w:r w:rsidR="0026567F">
        <w:t>11??</w:t>
      </w:r>
    </w:fldSimple>
    <w:r w:rsidR="002C1F3D" w:rsidRPr="00C907DF">
      <w:t xml:space="preserve"> –</w:t>
    </w:r>
    <w:r w:rsidR="002C1F3D">
      <w:t xml:space="preserve"> </w:t>
    </w:r>
    <w:fldSimple w:instr=" STYLEREF &quot;Document name&quot; \* MERGEFORMAT ">
      <w:r w:rsidR="0026567F">
        <w:t>GNSS Vulnerability and Mitigation Measures</w:t>
      </w:r>
    </w:fldSimple>
  </w:p>
  <w:p w14:paraId="224640B3" w14:textId="77777777" w:rsidR="002C1F3D" w:rsidRPr="00525922" w:rsidRDefault="0018219A" w:rsidP="00C716E5">
    <w:pPr>
      <w:pStyle w:val="Footerportrait"/>
    </w:pPr>
    <w:fldSimple w:instr=" STYLEREF &quot;Edition number&quot; \* MERGEFORMAT ">
      <w:r w:rsidR="0026567F">
        <w:t>Edition 1.0</w:t>
      </w:r>
    </w:fldSimple>
    <w:r w:rsidR="002C1F3D" w:rsidRPr="00C907DF">
      <w:tab/>
    </w:r>
    <w:r w:rsidR="002C1F3D">
      <w:t xml:space="preserve">P </w:t>
    </w:r>
    <w:r w:rsidR="002C1F3D" w:rsidRPr="00C907DF">
      <w:rPr>
        <w:rStyle w:val="PageNumber"/>
        <w:szCs w:val="15"/>
      </w:rPr>
      <w:fldChar w:fldCharType="begin"/>
    </w:r>
    <w:r w:rsidR="002C1F3D" w:rsidRPr="00C907DF">
      <w:rPr>
        <w:rStyle w:val="PageNumber"/>
        <w:szCs w:val="15"/>
      </w:rPr>
      <w:instrText xml:space="preserve">PAGE  </w:instrText>
    </w:r>
    <w:r w:rsidR="002C1F3D" w:rsidRPr="00C907DF">
      <w:rPr>
        <w:rStyle w:val="PageNumber"/>
        <w:szCs w:val="15"/>
      </w:rPr>
      <w:fldChar w:fldCharType="separate"/>
    </w:r>
    <w:r w:rsidR="0026567F">
      <w:rPr>
        <w:rStyle w:val="PageNumber"/>
        <w:szCs w:val="15"/>
      </w:rPr>
      <w:t>3</w:t>
    </w:r>
    <w:r w:rsidR="002C1F3D"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B9421" w14:textId="77777777" w:rsidR="002C1F3D" w:rsidRDefault="002C1F3D" w:rsidP="00C716E5">
    <w:pPr>
      <w:pStyle w:val="Footer"/>
    </w:pPr>
  </w:p>
  <w:p w14:paraId="566E6E09" w14:textId="77777777" w:rsidR="002C1F3D" w:rsidRDefault="002C1F3D" w:rsidP="00C716E5">
    <w:pPr>
      <w:pStyle w:val="Footerportrait"/>
    </w:pPr>
  </w:p>
  <w:p w14:paraId="65802403" w14:textId="77777777" w:rsidR="002C1F3D" w:rsidRPr="00C907DF" w:rsidRDefault="0018219A" w:rsidP="00184C2E">
    <w:pPr>
      <w:pStyle w:val="Footerportrait"/>
      <w:tabs>
        <w:tab w:val="clear" w:pos="10206"/>
        <w:tab w:val="right" w:pos="15137"/>
      </w:tabs>
    </w:pPr>
    <w:fldSimple w:instr=" STYLEREF &quot;Document type&quot; \* MERGEFORMAT ">
      <w:r w:rsidR="0026567F">
        <w:t>IALA Guideline</w:t>
      </w:r>
    </w:fldSimple>
    <w:r w:rsidR="002C1F3D" w:rsidRPr="00C907DF">
      <w:t xml:space="preserve"> </w:t>
    </w:r>
    <w:fldSimple w:instr=" STYLEREF &quot;Document number&quot; \* MERGEFORMAT ">
      <w:r w:rsidR="0026567F">
        <w:t>11??</w:t>
      </w:r>
    </w:fldSimple>
    <w:r w:rsidR="002C1F3D" w:rsidRPr="00C907DF">
      <w:t xml:space="preserve"> –</w:t>
    </w:r>
    <w:r w:rsidR="002C1F3D">
      <w:t xml:space="preserve"> </w:t>
    </w:r>
    <w:fldSimple w:instr=" STYLEREF &quot;Document name&quot; \* MERGEFORMAT ">
      <w:r w:rsidR="0026567F">
        <w:t>GNSS Vulnerability and Mitigation Measures</w:t>
      </w:r>
    </w:fldSimple>
    <w:r w:rsidR="002C1F3D">
      <w:tab/>
    </w:r>
  </w:p>
  <w:p w14:paraId="7FF271A2" w14:textId="77777777" w:rsidR="002C1F3D" w:rsidRPr="00C907DF" w:rsidRDefault="0018219A" w:rsidP="00184C2E">
    <w:pPr>
      <w:pStyle w:val="Footerportrait"/>
      <w:tabs>
        <w:tab w:val="clear" w:pos="10206"/>
        <w:tab w:val="right" w:pos="15137"/>
      </w:tabs>
    </w:pPr>
    <w:fldSimple w:instr=" STYLEREF &quot;Edition number&quot; \* MERGEFORMAT ">
      <w:r w:rsidR="0026567F">
        <w:t>Edition 1.0</w:t>
      </w:r>
    </w:fldSimple>
    <w:r w:rsidR="002C1F3D">
      <w:t xml:space="preserve">  </w:t>
    </w:r>
    <w:fldSimple w:instr=" STYLEREF &quot;Document date&quot; \* MERGEFORMAT ">
      <w:r w:rsidR="0026567F">
        <w:t>Document date</w:t>
      </w:r>
    </w:fldSimple>
    <w:r w:rsidR="002C1F3D">
      <w:tab/>
    </w:r>
    <w:r w:rsidR="002C1F3D">
      <w:rPr>
        <w:rStyle w:val="PageNumber"/>
        <w:szCs w:val="15"/>
      </w:rPr>
      <w:t xml:space="preserve">P </w:t>
    </w:r>
    <w:r w:rsidR="002C1F3D" w:rsidRPr="00C907DF">
      <w:rPr>
        <w:rStyle w:val="PageNumber"/>
        <w:szCs w:val="15"/>
      </w:rPr>
      <w:fldChar w:fldCharType="begin"/>
    </w:r>
    <w:r w:rsidR="002C1F3D" w:rsidRPr="00C907DF">
      <w:rPr>
        <w:rStyle w:val="PageNumber"/>
        <w:szCs w:val="15"/>
      </w:rPr>
      <w:instrText xml:space="preserve">PAGE  </w:instrText>
    </w:r>
    <w:r w:rsidR="002C1F3D" w:rsidRPr="00C907DF">
      <w:rPr>
        <w:rStyle w:val="PageNumber"/>
        <w:szCs w:val="15"/>
      </w:rPr>
      <w:fldChar w:fldCharType="separate"/>
    </w:r>
    <w:r w:rsidR="0026567F">
      <w:rPr>
        <w:rStyle w:val="PageNumber"/>
        <w:szCs w:val="15"/>
      </w:rPr>
      <w:t>15</w:t>
    </w:r>
    <w:r w:rsidR="002C1F3D"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6537C8" w14:textId="77777777" w:rsidR="00E13F72" w:rsidRDefault="00E13F72" w:rsidP="003274DB">
      <w:r>
        <w:separator/>
      </w:r>
    </w:p>
    <w:p w14:paraId="4D19D37D" w14:textId="77777777" w:rsidR="00E13F72" w:rsidRDefault="00E13F72"/>
  </w:footnote>
  <w:footnote w:type="continuationSeparator" w:id="0">
    <w:p w14:paraId="2E8FBFD8" w14:textId="77777777" w:rsidR="00E13F72" w:rsidRDefault="00E13F72" w:rsidP="003274DB">
      <w:r>
        <w:continuationSeparator/>
      </w:r>
    </w:p>
    <w:p w14:paraId="5BBF8760" w14:textId="77777777" w:rsidR="00E13F72" w:rsidRDefault="00E13F72"/>
  </w:footnote>
  <w:footnote w:id="1">
    <w:p w14:paraId="18034864" w14:textId="3FEF77A8" w:rsidR="002C1F3D" w:rsidRDefault="002C1F3D">
      <w:pPr>
        <w:pStyle w:val="FootnoteText"/>
      </w:pPr>
      <w:r>
        <w:rPr>
          <w:rStyle w:val="FootnoteReference"/>
        </w:rPr>
        <w:footnoteRef/>
      </w:r>
      <w:r>
        <w:tab/>
      </w:r>
      <w:r w:rsidRPr="004259EF">
        <w:t>As defined in various studies conducted by Booz-Allen &amp; Hamilton on behalf of the US Federal Aviation Administration.</w:t>
      </w:r>
    </w:p>
  </w:footnote>
  <w:footnote w:id="2">
    <w:p w14:paraId="33F43257" w14:textId="5D7AEC12" w:rsidR="002C1F3D" w:rsidRDefault="002C1F3D">
      <w:pPr>
        <w:pStyle w:val="FootnoteText"/>
      </w:pPr>
      <w:r>
        <w:rPr>
          <w:rStyle w:val="FootnoteReference"/>
        </w:rPr>
        <w:footnoteRef/>
      </w:r>
      <w:r>
        <w:tab/>
      </w:r>
      <w:r w:rsidRPr="000C5BDE">
        <w:rPr>
          <w:rFonts w:cs="Arial"/>
          <w:szCs w:val="18"/>
          <w:lang w:val="en-US"/>
        </w:rPr>
        <w:t>During the e-Navigation test bed project ACCSEAS, tests concerning the R-Mode (DGPS/AIS) as an alternative back-up system will be carried out in the North Sea Region. The results of those tests can be expected in early 2015</w:t>
      </w:r>
      <w:r>
        <w:rPr>
          <w:rFonts w:cs="Arial"/>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2788C" w14:textId="77777777" w:rsidR="002C1F3D" w:rsidRPr="00ED2A8D" w:rsidRDefault="002C1F3D" w:rsidP="008747E0">
    <w:pPr>
      <w:pStyle w:val="Header"/>
    </w:pPr>
    <w:r w:rsidRPr="00442889">
      <w:rPr>
        <w:noProof/>
        <w:lang w:val="en-IE" w:eastAsia="en-IE"/>
      </w:rPr>
      <w:drawing>
        <wp:anchor distT="0" distB="0" distL="114300" distR="114300" simplePos="0" relativeHeight="251657214" behindDoc="1" locked="0" layoutInCell="1" allowOverlap="1" wp14:anchorId="1D49CD57" wp14:editId="3357382E">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E675013" w14:textId="64442510" w:rsidR="002C1F3D" w:rsidRPr="00ED2A8D" w:rsidRDefault="0026567F" w:rsidP="0026567F">
    <w:pPr>
      <w:pStyle w:val="Header"/>
      <w:jc w:val="right"/>
    </w:pPr>
    <w:r>
      <w:t>ENAV20-13.9.2</w:t>
    </w:r>
  </w:p>
  <w:p w14:paraId="3C77D21A" w14:textId="77777777" w:rsidR="002C1F3D" w:rsidRDefault="002C1F3D" w:rsidP="008747E0">
    <w:pPr>
      <w:pStyle w:val="Header"/>
    </w:pPr>
  </w:p>
  <w:p w14:paraId="5BC40A2F" w14:textId="77777777" w:rsidR="002C1F3D" w:rsidRDefault="002C1F3D" w:rsidP="008747E0">
    <w:pPr>
      <w:pStyle w:val="Header"/>
    </w:pPr>
  </w:p>
  <w:p w14:paraId="0AC785A5" w14:textId="77777777" w:rsidR="002C1F3D" w:rsidRDefault="002C1F3D" w:rsidP="008747E0">
    <w:pPr>
      <w:pStyle w:val="Header"/>
    </w:pPr>
  </w:p>
  <w:p w14:paraId="235EB2E1" w14:textId="77777777" w:rsidR="002C1F3D" w:rsidRDefault="002C1F3D" w:rsidP="008747E0">
    <w:pPr>
      <w:pStyle w:val="Header"/>
    </w:pPr>
  </w:p>
  <w:p w14:paraId="03013477" w14:textId="77777777" w:rsidR="002C1F3D" w:rsidRDefault="002C1F3D" w:rsidP="008747E0">
    <w:pPr>
      <w:pStyle w:val="Header"/>
    </w:pPr>
    <w:r>
      <w:rPr>
        <w:noProof/>
        <w:lang w:val="en-IE" w:eastAsia="en-IE"/>
      </w:rPr>
      <w:drawing>
        <wp:anchor distT="0" distB="0" distL="114300" distR="114300" simplePos="0" relativeHeight="251656189" behindDoc="1" locked="0" layoutInCell="1" allowOverlap="1" wp14:anchorId="341311AE" wp14:editId="5A9A194D">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0465AB9" w14:textId="77777777" w:rsidR="002C1F3D" w:rsidRPr="00ED2A8D" w:rsidRDefault="002C1F3D" w:rsidP="008747E0">
    <w:pPr>
      <w:pStyle w:val="Header"/>
    </w:pPr>
  </w:p>
  <w:p w14:paraId="06134C78" w14:textId="77777777" w:rsidR="002C1F3D" w:rsidRPr="00ED2A8D" w:rsidRDefault="002C1F3D"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6347C" w14:textId="77777777" w:rsidR="002C1F3D" w:rsidRDefault="002C1F3D">
    <w:pPr>
      <w:pStyle w:val="Header"/>
    </w:pPr>
    <w:r>
      <w:rPr>
        <w:noProof/>
        <w:lang w:val="en-IE" w:eastAsia="en-IE"/>
      </w:rPr>
      <w:drawing>
        <wp:anchor distT="0" distB="0" distL="114300" distR="114300" simplePos="0" relativeHeight="251688960" behindDoc="1" locked="0" layoutInCell="1" allowOverlap="1" wp14:anchorId="7345C3D3" wp14:editId="5676649F">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E08574F" w14:textId="77777777" w:rsidR="002C1F3D" w:rsidRDefault="002C1F3D">
    <w:pPr>
      <w:pStyle w:val="Header"/>
    </w:pPr>
  </w:p>
  <w:p w14:paraId="610A3881" w14:textId="77777777" w:rsidR="002C1F3D" w:rsidRDefault="002C1F3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FE17E" w14:textId="77777777" w:rsidR="002C1F3D" w:rsidRPr="00ED2A8D" w:rsidRDefault="002C1F3D" w:rsidP="008747E0">
    <w:pPr>
      <w:pStyle w:val="Header"/>
    </w:pPr>
    <w:r>
      <w:rPr>
        <w:noProof/>
        <w:lang w:val="en-IE" w:eastAsia="en-IE"/>
      </w:rPr>
      <w:drawing>
        <wp:anchor distT="0" distB="0" distL="114300" distR="114300" simplePos="0" relativeHeight="251658752" behindDoc="1" locked="0" layoutInCell="1" allowOverlap="1" wp14:anchorId="71C7FC21" wp14:editId="202074D4">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28A6342" w14:textId="77777777" w:rsidR="002C1F3D" w:rsidRPr="00ED2A8D" w:rsidRDefault="002C1F3D" w:rsidP="008747E0">
    <w:pPr>
      <w:pStyle w:val="Header"/>
    </w:pPr>
  </w:p>
  <w:p w14:paraId="720EB590" w14:textId="77777777" w:rsidR="002C1F3D" w:rsidRDefault="002C1F3D" w:rsidP="008747E0">
    <w:pPr>
      <w:pStyle w:val="Header"/>
    </w:pPr>
  </w:p>
  <w:p w14:paraId="3958464E" w14:textId="77777777" w:rsidR="002C1F3D" w:rsidRDefault="002C1F3D" w:rsidP="008747E0">
    <w:pPr>
      <w:pStyle w:val="Header"/>
    </w:pPr>
  </w:p>
  <w:p w14:paraId="0A8DF4E2" w14:textId="77777777" w:rsidR="002C1F3D" w:rsidRDefault="002C1F3D" w:rsidP="008747E0">
    <w:pPr>
      <w:pStyle w:val="Header"/>
    </w:pPr>
  </w:p>
  <w:p w14:paraId="02F82DB7" w14:textId="77777777" w:rsidR="002C1F3D" w:rsidRPr="00441393" w:rsidRDefault="002C1F3D" w:rsidP="00441393">
    <w:pPr>
      <w:pStyle w:val="Contents"/>
    </w:pPr>
    <w:r>
      <w:t>DOCUMENT REVISION</w:t>
    </w:r>
  </w:p>
  <w:p w14:paraId="05FE6E05" w14:textId="77777777" w:rsidR="002C1F3D" w:rsidRPr="00ED2A8D" w:rsidRDefault="002C1F3D" w:rsidP="008747E0">
    <w:pPr>
      <w:pStyle w:val="Header"/>
    </w:pPr>
  </w:p>
  <w:p w14:paraId="0CCF7390" w14:textId="77777777" w:rsidR="002C1F3D" w:rsidRPr="00AC33A2" w:rsidRDefault="002C1F3D"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97257" w14:textId="77777777" w:rsidR="002C1F3D" w:rsidRPr="00ED2A8D" w:rsidRDefault="002C1F3D" w:rsidP="008747E0">
    <w:pPr>
      <w:pStyle w:val="Header"/>
    </w:pPr>
    <w:r>
      <w:rPr>
        <w:noProof/>
        <w:lang w:val="en-IE" w:eastAsia="en-IE"/>
      </w:rPr>
      <w:drawing>
        <wp:anchor distT="0" distB="0" distL="114300" distR="114300" simplePos="0" relativeHeight="251674624" behindDoc="1" locked="0" layoutInCell="1" allowOverlap="1" wp14:anchorId="182E9FCA" wp14:editId="4FB4D9C1">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A947108" w14:textId="77777777" w:rsidR="002C1F3D" w:rsidRPr="00ED2A8D" w:rsidRDefault="002C1F3D" w:rsidP="008747E0">
    <w:pPr>
      <w:pStyle w:val="Header"/>
    </w:pPr>
  </w:p>
  <w:p w14:paraId="5BC142A8" w14:textId="77777777" w:rsidR="002C1F3D" w:rsidRDefault="002C1F3D" w:rsidP="008747E0">
    <w:pPr>
      <w:pStyle w:val="Header"/>
    </w:pPr>
  </w:p>
  <w:p w14:paraId="2026FF73" w14:textId="77777777" w:rsidR="002C1F3D" w:rsidRDefault="002C1F3D" w:rsidP="008747E0">
    <w:pPr>
      <w:pStyle w:val="Header"/>
    </w:pPr>
  </w:p>
  <w:p w14:paraId="13229F25" w14:textId="77777777" w:rsidR="002C1F3D" w:rsidRDefault="002C1F3D" w:rsidP="008747E0">
    <w:pPr>
      <w:pStyle w:val="Header"/>
    </w:pPr>
  </w:p>
  <w:p w14:paraId="3240030B" w14:textId="77777777" w:rsidR="002C1F3D" w:rsidRPr="00441393" w:rsidRDefault="002C1F3D" w:rsidP="00441393">
    <w:pPr>
      <w:pStyle w:val="Contents"/>
    </w:pPr>
    <w:r>
      <w:t>CONTENTS</w:t>
    </w:r>
  </w:p>
  <w:p w14:paraId="5CC1841A" w14:textId="77777777" w:rsidR="002C1F3D" w:rsidRDefault="002C1F3D" w:rsidP="0078486B">
    <w:pPr>
      <w:pStyle w:val="Header"/>
      <w:spacing w:line="140" w:lineRule="exact"/>
    </w:pPr>
  </w:p>
  <w:p w14:paraId="06F5C1C0" w14:textId="77777777" w:rsidR="002C1F3D" w:rsidRPr="00AC33A2" w:rsidRDefault="002C1F3D"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80B18" w14:textId="77777777" w:rsidR="002C1F3D" w:rsidRPr="00ED2A8D" w:rsidRDefault="002C1F3D" w:rsidP="00C716E5">
    <w:pPr>
      <w:pStyle w:val="Header"/>
    </w:pPr>
    <w:r>
      <w:rPr>
        <w:noProof/>
        <w:lang w:val="en-IE" w:eastAsia="en-IE"/>
      </w:rPr>
      <w:drawing>
        <wp:anchor distT="0" distB="0" distL="114300" distR="114300" simplePos="0" relativeHeight="251697152" behindDoc="1" locked="0" layoutInCell="1" allowOverlap="1" wp14:anchorId="6812A4FE" wp14:editId="2E5082FC">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ABE3B2A" w14:textId="77777777" w:rsidR="002C1F3D" w:rsidRPr="00ED2A8D" w:rsidRDefault="002C1F3D" w:rsidP="00C716E5">
    <w:pPr>
      <w:pStyle w:val="Header"/>
    </w:pPr>
  </w:p>
  <w:p w14:paraId="0EF06A84" w14:textId="77777777" w:rsidR="002C1F3D" w:rsidRDefault="002C1F3D" w:rsidP="00C716E5">
    <w:pPr>
      <w:pStyle w:val="Header"/>
    </w:pPr>
  </w:p>
  <w:p w14:paraId="3832FC88" w14:textId="77777777" w:rsidR="002C1F3D" w:rsidRDefault="002C1F3D" w:rsidP="00C716E5">
    <w:pPr>
      <w:pStyle w:val="Header"/>
    </w:pPr>
  </w:p>
  <w:p w14:paraId="170EB830" w14:textId="77777777" w:rsidR="002C1F3D" w:rsidRDefault="002C1F3D" w:rsidP="00C716E5">
    <w:pPr>
      <w:pStyle w:val="Header"/>
    </w:pPr>
  </w:p>
  <w:p w14:paraId="2ABCC78E" w14:textId="77777777" w:rsidR="002C1F3D" w:rsidRPr="00441393" w:rsidRDefault="002C1F3D" w:rsidP="00C716E5">
    <w:pPr>
      <w:pStyle w:val="Contents"/>
    </w:pPr>
    <w:r>
      <w:t>CONTENTS</w:t>
    </w:r>
  </w:p>
  <w:p w14:paraId="27405C51" w14:textId="77777777" w:rsidR="002C1F3D" w:rsidRPr="00ED2A8D" w:rsidRDefault="002C1F3D" w:rsidP="00C716E5">
    <w:pPr>
      <w:pStyle w:val="Header"/>
    </w:pPr>
  </w:p>
  <w:p w14:paraId="6B225F12" w14:textId="77777777" w:rsidR="002C1F3D" w:rsidRPr="00AC33A2" w:rsidRDefault="002C1F3D" w:rsidP="00C716E5">
    <w:pPr>
      <w:pStyle w:val="Header"/>
      <w:spacing w:line="140" w:lineRule="exact"/>
    </w:pPr>
  </w:p>
  <w:p w14:paraId="20A638F7" w14:textId="77777777" w:rsidR="002C1F3D" w:rsidRDefault="002C1F3D">
    <w:pPr>
      <w:pStyle w:val="Header"/>
    </w:pPr>
    <w:r>
      <w:rPr>
        <w:noProof/>
        <w:lang w:val="en-IE" w:eastAsia="en-IE"/>
      </w:rPr>
      <w:drawing>
        <wp:anchor distT="0" distB="0" distL="114300" distR="114300" simplePos="0" relativeHeight="251695104" behindDoc="1" locked="0" layoutInCell="1" allowOverlap="1" wp14:anchorId="61BDC7CD" wp14:editId="48A6DD89">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B2A51" w14:textId="77777777" w:rsidR="002C1F3D" w:rsidRDefault="002C1F3D" w:rsidP="00C716E5">
    <w:pPr>
      <w:pStyle w:val="Header"/>
    </w:pPr>
    <w:r>
      <w:rPr>
        <w:noProof/>
        <w:lang w:val="en-IE" w:eastAsia="en-IE"/>
      </w:rPr>
      <w:drawing>
        <wp:anchor distT="0" distB="0" distL="114300" distR="114300" simplePos="0" relativeHeight="251672576" behindDoc="1" locked="0" layoutInCell="1" allowOverlap="1" wp14:anchorId="448DB759" wp14:editId="0BBF9E5D">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0C903" w14:textId="77777777" w:rsidR="002C1F3D" w:rsidRPr="00667792" w:rsidRDefault="002C1F3D" w:rsidP="00667792">
    <w:pPr>
      <w:pStyle w:val="Header"/>
    </w:pPr>
    <w:r>
      <w:rPr>
        <w:noProof/>
        <w:lang w:val="en-IE" w:eastAsia="en-IE"/>
      </w:rPr>
      <w:drawing>
        <wp:anchor distT="0" distB="0" distL="114300" distR="114300" simplePos="0" relativeHeight="251678720" behindDoc="1" locked="0" layoutInCell="1" allowOverlap="1" wp14:anchorId="3FF060C9" wp14:editId="03BDE59A">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33EAD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4A25CC4"/>
    <w:lvl w:ilvl="0">
      <w:start w:val="1"/>
      <w:numFmt w:val="decimal"/>
      <w:lvlText w:val="%1."/>
      <w:lvlJc w:val="left"/>
      <w:pPr>
        <w:tabs>
          <w:tab w:val="num" w:pos="1800"/>
        </w:tabs>
        <w:ind w:left="1800" w:hanging="360"/>
      </w:pPr>
    </w:lvl>
  </w:abstractNum>
  <w:abstractNum w:abstractNumId="2">
    <w:nsid w:val="FFFFFF7D"/>
    <w:multiLevelType w:val="singleLevel"/>
    <w:tmpl w:val="2A847896"/>
    <w:lvl w:ilvl="0">
      <w:start w:val="1"/>
      <w:numFmt w:val="decimal"/>
      <w:lvlText w:val="%1."/>
      <w:lvlJc w:val="left"/>
      <w:pPr>
        <w:tabs>
          <w:tab w:val="num" w:pos="1440"/>
        </w:tabs>
        <w:ind w:left="1440" w:hanging="360"/>
      </w:pPr>
    </w:lvl>
  </w:abstractNum>
  <w:abstractNum w:abstractNumId="3">
    <w:nsid w:val="FFFFFF7F"/>
    <w:multiLevelType w:val="singleLevel"/>
    <w:tmpl w:val="7BACDF78"/>
    <w:lvl w:ilvl="0">
      <w:start w:val="1"/>
      <w:numFmt w:val="decimal"/>
      <w:lvlText w:val="%1."/>
      <w:lvlJc w:val="left"/>
      <w:pPr>
        <w:tabs>
          <w:tab w:val="num" w:pos="720"/>
        </w:tabs>
        <w:ind w:left="720" w:hanging="360"/>
      </w:pPr>
    </w:lvl>
  </w:abstractNum>
  <w:abstractNum w:abstractNumId="4">
    <w:nsid w:val="FFFFFF80"/>
    <w:multiLevelType w:val="singleLevel"/>
    <w:tmpl w:val="B90A436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B92A4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25C058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9EE70F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857C52A8"/>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AC83F35"/>
    <w:multiLevelType w:val="hybridMultilevel"/>
    <w:tmpl w:val="060E9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B32384B"/>
    <w:multiLevelType w:val="hybridMultilevel"/>
    <w:tmpl w:val="BE16E4DC"/>
    <w:lvl w:ilvl="0" w:tplc="7BC238FC">
      <w:start w:val="1"/>
      <w:numFmt w:val="bullet"/>
      <w:pStyle w:val="IALABullet1"/>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2">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44"/>
  </w:num>
  <w:num w:numId="3">
    <w:abstractNumId w:val="16"/>
  </w:num>
  <w:num w:numId="4">
    <w:abstractNumId w:val="30"/>
  </w:num>
  <w:num w:numId="5">
    <w:abstractNumId w:val="26"/>
  </w:num>
  <w:num w:numId="6">
    <w:abstractNumId w:val="24"/>
  </w:num>
  <w:num w:numId="7">
    <w:abstractNumId w:val="34"/>
  </w:num>
  <w:num w:numId="8">
    <w:abstractNumId w:val="15"/>
  </w:num>
  <w:num w:numId="9">
    <w:abstractNumId w:val="23"/>
  </w:num>
  <w:num w:numId="10">
    <w:abstractNumId w:val="27"/>
  </w:num>
  <w:num w:numId="11">
    <w:abstractNumId w:val="13"/>
  </w:num>
  <w:num w:numId="12">
    <w:abstractNumId w:val="35"/>
  </w:num>
  <w:num w:numId="13">
    <w:abstractNumId w:val="8"/>
  </w:num>
  <w:num w:numId="14">
    <w:abstractNumId w:val="41"/>
  </w:num>
  <w:num w:numId="15">
    <w:abstractNumId w:val="21"/>
  </w:num>
  <w:num w:numId="16">
    <w:abstractNumId w:val="20"/>
  </w:num>
  <w:num w:numId="17">
    <w:abstractNumId w:val="33"/>
  </w:num>
  <w:num w:numId="18">
    <w:abstractNumId w:val="11"/>
  </w:num>
  <w:num w:numId="19">
    <w:abstractNumId w:val="19"/>
  </w:num>
  <w:num w:numId="20">
    <w:abstractNumId w:val="39"/>
  </w:num>
  <w:num w:numId="21">
    <w:abstractNumId w:val="18"/>
  </w:num>
  <w:num w:numId="22">
    <w:abstractNumId w:val="43"/>
  </w:num>
  <w:num w:numId="23">
    <w:abstractNumId w:val="10"/>
  </w:num>
  <w:num w:numId="24">
    <w:abstractNumId w:val="29"/>
  </w:num>
  <w:num w:numId="25">
    <w:abstractNumId w:val="25"/>
  </w:num>
  <w:num w:numId="26">
    <w:abstractNumId w:val="38"/>
  </w:num>
  <w:num w:numId="27">
    <w:abstractNumId w:val="40"/>
  </w:num>
  <w:num w:numId="28">
    <w:abstractNumId w:val="14"/>
  </w:num>
  <w:num w:numId="29">
    <w:abstractNumId w:val="36"/>
  </w:num>
  <w:num w:numId="30">
    <w:abstractNumId w:val="32"/>
  </w:num>
  <w:num w:numId="31">
    <w:abstractNumId w:val="22"/>
  </w:num>
  <w:num w:numId="32">
    <w:abstractNumId w:val="42"/>
  </w:num>
  <w:num w:numId="33">
    <w:abstractNumId w:val="17"/>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42"/>
  </w:num>
  <w:num w:numId="46">
    <w:abstractNumId w:val="42"/>
  </w:num>
  <w:num w:numId="47">
    <w:abstractNumId w:val="42"/>
  </w:num>
  <w:num w:numId="48">
    <w:abstractNumId w:val="12"/>
  </w:num>
  <w:num w:numId="49">
    <w:abstractNumId w:val="31"/>
  </w:num>
  <w:num w:numId="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C7F"/>
    <w:rsid w:val="0001616D"/>
    <w:rsid w:val="00016839"/>
    <w:rsid w:val="000174F9"/>
    <w:rsid w:val="000249C2"/>
    <w:rsid w:val="00025586"/>
    <w:rsid w:val="000258F6"/>
    <w:rsid w:val="000379A7"/>
    <w:rsid w:val="00040EB8"/>
    <w:rsid w:val="000439A4"/>
    <w:rsid w:val="00044293"/>
    <w:rsid w:val="000472F8"/>
    <w:rsid w:val="0005449E"/>
    <w:rsid w:val="00057699"/>
    <w:rsid w:val="00057B6D"/>
    <w:rsid w:val="00061A7B"/>
    <w:rsid w:val="0008654C"/>
    <w:rsid w:val="000904ED"/>
    <w:rsid w:val="00091545"/>
    <w:rsid w:val="000A27A8"/>
    <w:rsid w:val="000B2356"/>
    <w:rsid w:val="000C711B"/>
    <w:rsid w:val="000D2431"/>
    <w:rsid w:val="000E3954"/>
    <w:rsid w:val="000E3E52"/>
    <w:rsid w:val="000E4A56"/>
    <w:rsid w:val="000F0F9F"/>
    <w:rsid w:val="000F3F43"/>
    <w:rsid w:val="000F58ED"/>
    <w:rsid w:val="00110865"/>
    <w:rsid w:val="00113D5B"/>
    <w:rsid w:val="00113F8F"/>
    <w:rsid w:val="00122EBD"/>
    <w:rsid w:val="001349DB"/>
    <w:rsid w:val="00135AEB"/>
    <w:rsid w:val="00136E58"/>
    <w:rsid w:val="001547F9"/>
    <w:rsid w:val="001607D8"/>
    <w:rsid w:val="00160ECB"/>
    <w:rsid w:val="00161325"/>
    <w:rsid w:val="0017187B"/>
    <w:rsid w:val="0018219A"/>
    <w:rsid w:val="00184427"/>
    <w:rsid w:val="00184C2E"/>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C7F"/>
    <w:rsid w:val="00222D4C"/>
    <w:rsid w:val="0022371A"/>
    <w:rsid w:val="00237785"/>
    <w:rsid w:val="00251FB9"/>
    <w:rsid w:val="002520AD"/>
    <w:rsid w:val="0025660A"/>
    <w:rsid w:val="00257DF8"/>
    <w:rsid w:val="00257E4A"/>
    <w:rsid w:val="0026038D"/>
    <w:rsid w:val="0026567F"/>
    <w:rsid w:val="0027175D"/>
    <w:rsid w:val="00275283"/>
    <w:rsid w:val="0028314D"/>
    <w:rsid w:val="0029793F"/>
    <w:rsid w:val="002A1C42"/>
    <w:rsid w:val="002A617C"/>
    <w:rsid w:val="002A71CF"/>
    <w:rsid w:val="002B3E9D"/>
    <w:rsid w:val="002C15C0"/>
    <w:rsid w:val="002C1F3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37611"/>
    <w:rsid w:val="00344408"/>
    <w:rsid w:val="00345E37"/>
    <w:rsid w:val="00347F3E"/>
    <w:rsid w:val="003502B2"/>
    <w:rsid w:val="003621C3"/>
    <w:rsid w:val="0036382D"/>
    <w:rsid w:val="00380350"/>
    <w:rsid w:val="00380B4E"/>
    <w:rsid w:val="003816E4"/>
    <w:rsid w:val="0039131E"/>
    <w:rsid w:val="003A04A6"/>
    <w:rsid w:val="003A1A56"/>
    <w:rsid w:val="003A7759"/>
    <w:rsid w:val="003A7F6E"/>
    <w:rsid w:val="003B03EA"/>
    <w:rsid w:val="003C3D18"/>
    <w:rsid w:val="003C7C34"/>
    <w:rsid w:val="003D0F37"/>
    <w:rsid w:val="003D5150"/>
    <w:rsid w:val="003F1901"/>
    <w:rsid w:val="003F1C3A"/>
    <w:rsid w:val="0041086B"/>
    <w:rsid w:val="00414698"/>
    <w:rsid w:val="0042565E"/>
    <w:rsid w:val="004259EF"/>
    <w:rsid w:val="00432C05"/>
    <w:rsid w:val="00440379"/>
    <w:rsid w:val="00441393"/>
    <w:rsid w:val="00447CF0"/>
    <w:rsid w:val="00456F10"/>
    <w:rsid w:val="00474746"/>
    <w:rsid w:val="00476942"/>
    <w:rsid w:val="00477027"/>
    <w:rsid w:val="00477D62"/>
    <w:rsid w:val="004871A2"/>
    <w:rsid w:val="00492A8D"/>
    <w:rsid w:val="004944C8"/>
    <w:rsid w:val="004A0EBF"/>
    <w:rsid w:val="004A4EC4"/>
    <w:rsid w:val="004B494F"/>
    <w:rsid w:val="004C0E4B"/>
    <w:rsid w:val="004D6D3F"/>
    <w:rsid w:val="004D7190"/>
    <w:rsid w:val="004E0BBB"/>
    <w:rsid w:val="004E1D57"/>
    <w:rsid w:val="004E2F16"/>
    <w:rsid w:val="004F5930"/>
    <w:rsid w:val="004F6196"/>
    <w:rsid w:val="00503044"/>
    <w:rsid w:val="00510AD9"/>
    <w:rsid w:val="00517E6C"/>
    <w:rsid w:val="00523666"/>
    <w:rsid w:val="00525922"/>
    <w:rsid w:val="00526234"/>
    <w:rsid w:val="00534839"/>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2025"/>
    <w:rsid w:val="00646E87"/>
    <w:rsid w:val="0065107F"/>
    <w:rsid w:val="00661445"/>
    <w:rsid w:val="00661946"/>
    <w:rsid w:val="00666061"/>
    <w:rsid w:val="006670C0"/>
    <w:rsid w:val="00667424"/>
    <w:rsid w:val="00667792"/>
    <w:rsid w:val="00670ACB"/>
    <w:rsid w:val="0067154B"/>
    <w:rsid w:val="00671677"/>
    <w:rsid w:val="006744D8"/>
    <w:rsid w:val="006750F2"/>
    <w:rsid w:val="006752D6"/>
    <w:rsid w:val="00675E02"/>
    <w:rsid w:val="006802D8"/>
    <w:rsid w:val="0068553C"/>
    <w:rsid w:val="00685F34"/>
    <w:rsid w:val="00695656"/>
    <w:rsid w:val="006975A8"/>
    <w:rsid w:val="006A1012"/>
    <w:rsid w:val="006B6C5C"/>
    <w:rsid w:val="006C1376"/>
    <w:rsid w:val="006C48F9"/>
    <w:rsid w:val="006E0E7D"/>
    <w:rsid w:val="006E10BF"/>
    <w:rsid w:val="006F0AC3"/>
    <w:rsid w:val="006F1C14"/>
    <w:rsid w:val="006F6A16"/>
    <w:rsid w:val="00703A6A"/>
    <w:rsid w:val="00722236"/>
    <w:rsid w:val="00725CCA"/>
    <w:rsid w:val="0072737A"/>
    <w:rsid w:val="007311E7"/>
    <w:rsid w:val="00731DEE"/>
    <w:rsid w:val="00734BC6"/>
    <w:rsid w:val="007427B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2599E"/>
    <w:rsid w:val="008326B2"/>
    <w:rsid w:val="00837DBD"/>
    <w:rsid w:val="008421BC"/>
    <w:rsid w:val="00846831"/>
    <w:rsid w:val="00851F87"/>
    <w:rsid w:val="00865532"/>
    <w:rsid w:val="00867686"/>
    <w:rsid w:val="008737D3"/>
    <w:rsid w:val="008747E0"/>
    <w:rsid w:val="00876841"/>
    <w:rsid w:val="00882B3C"/>
    <w:rsid w:val="0088783D"/>
    <w:rsid w:val="0089476E"/>
    <w:rsid w:val="008972C3"/>
    <w:rsid w:val="008A28D9"/>
    <w:rsid w:val="008A30BA"/>
    <w:rsid w:val="008C33B5"/>
    <w:rsid w:val="008C3A72"/>
    <w:rsid w:val="008C6969"/>
    <w:rsid w:val="008D29F3"/>
    <w:rsid w:val="008E1F69"/>
    <w:rsid w:val="008E76B1"/>
    <w:rsid w:val="008F0ABB"/>
    <w:rsid w:val="008F38BB"/>
    <w:rsid w:val="008F57D8"/>
    <w:rsid w:val="00902834"/>
    <w:rsid w:val="00910058"/>
    <w:rsid w:val="009115DD"/>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A67E6"/>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4308C"/>
    <w:rsid w:val="00A4371F"/>
    <w:rsid w:val="00A44836"/>
    <w:rsid w:val="00A524B5"/>
    <w:rsid w:val="00A549B3"/>
    <w:rsid w:val="00A56184"/>
    <w:rsid w:val="00A66868"/>
    <w:rsid w:val="00A67954"/>
    <w:rsid w:val="00A70D98"/>
    <w:rsid w:val="00A72ED7"/>
    <w:rsid w:val="00A748A1"/>
    <w:rsid w:val="00A8083F"/>
    <w:rsid w:val="00A90D86"/>
    <w:rsid w:val="00A91DBA"/>
    <w:rsid w:val="00A97900"/>
    <w:rsid w:val="00AA1D7A"/>
    <w:rsid w:val="00AA3E01"/>
    <w:rsid w:val="00AB0BFA"/>
    <w:rsid w:val="00AB4A37"/>
    <w:rsid w:val="00AB76B7"/>
    <w:rsid w:val="00AC33A2"/>
    <w:rsid w:val="00AC53AE"/>
    <w:rsid w:val="00AD38F7"/>
    <w:rsid w:val="00AE65F1"/>
    <w:rsid w:val="00AE6BB4"/>
    <w:rsid w:val="00AE74AD"/>
    <w:rsid w:val="00AF159C"/>
    <w:rsid w:val="00B01873"/>
    <w:rsid w:val="00B036AF"/>
    <w:rsid w:val="00B074AB"/>
    <w:rsid w:val="00B07717"/>
    <w:rsid w:val="00B17253"/>
    <w:rsid w:val="00B17D23"/>
    <w:rsid w:val="00B2583D"/>
    <w:rsid w:val="00B278E4"/>
    <w:rsid w:val="00B31A41"/>
    <w:rsid w:val="00B3287F"/>
    <w:rsid w:val="00B3400D"/>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042"/>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07384"/>
    <w:rsid w:val="00D1463A"/>
    <w:rsid w:val="00D24632"/>
    <w:rsid w:val="00D252C9"/>
    <w:rsid w:val="00D25A8D"/>
    <w:rsid w:val="00D32DDF"/>
    <w:rsid w:val="00D3700C"/>
    <w:rsid w:val="00D4573B"/>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15AE"/>
    <w:rsid w:val="00E03067"/>
    <w:rsid w:val="00E03846"/>
    <w:rsid w:val="00E069B6"/>
    <w:rsid w:val="00E13F72"/>
    <w:rsid w:val="00E16EB4"/>
    <w:rsid w:val="00E20A7D"/>
    <w:rsid w:val="00E21A27"/>
    <w:rsid w:val="00E27A2F"/>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309"/>
    <w:rsid w:val="00F7793E"/>
    <w:rsid w:val="00F82C35"/>
    <w:rsid w:val="00F90461"/>
    <w:rsid w:val="00FA370D"/>
    <w:rsid w:val="00FA66F1"/>
    <w:rsid w:val="00FC0504"/>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F2A8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4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47"/>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4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IALABullet1">
    <w:name w:val="IALA Bullet 1"/>
    <w:basedOn w:val="Normal"/>
    <w:rsid w:val="00670ACB"/>
    <w:pPr>
      <w:numPr>
        <w:numId w:val="49"/>
      </w:numPr>
      <w:spacing w:line="240" w:lineRule="auto"/>
    </w:pPr>
    <w:rPr>
      <w:rFonts w:ascii="Arial" w:eastAsia="Times New Roman" w:hAnsi="Arial"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3.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D0535-C4C7-44B5-929C-140C3CC13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5885</Words>
  <Characters>33550</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39357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dcterms:created xsi:type="dcterms:W3CDTF">2017-02-07T14:41:00Z</dcterms:created>
  <dcterms:modified xsi:type="dcterms:W3CDTF">2017-02-15T21:03:00Z</dcterms:modified>
  <cp:category/>
</cp:coreProperties>
</file>